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3569" w14:textId="77777777" w:rsidR="00F03378" w:rsidRDefault="00E53175" w:rsidP="00140B21">
      <w:pPr>
        <w:spacing w:after="0"/>
        <w:ind w:left="450" w:hanging="450"/>
        <w:jc w:val="center"/>
        <w:rPr>
          <w:rFonts w:ascii="Times New Roman" w:hAnsi="Times New Roman" w:cs="Times New Roman"/>
          <w:b/>
          <w:sz w:val="20"/>
          <w:szCs w:val="20"/>
        </w:rPr>
      </w:pPr>
      <w:r>
        <w:rPr>
          <w:rFonts w:ascii="Times New Roman" w:hAnsi="Times New Roman" w:cs="Times New Roman"/>
          <w:b/>
          <w:sz w:val="20"/>
          <w:szCs w:val="20"/>
        </w:rPr>
        <w:t>EXHIBIT A</w:t>
      </w:r>
      <w:r w:rsidR="00924226">
        <w:rPr>
          <w:rFonts w:ascii="Times New Roman" w:hAnsi="Times New Roman" w:cs="Times New Roman"/>
          <w:b/>
          <w:sz w:val="20"/>
          <w:szCs w:val="20"/>
        </w:rPr>
        <w:t xml:space="preserve">: </w:t>
      </w:r>
      <w:r w:rsidR="00F03378" w:rsidRPr="00140B21">
        <w:rPr>
          <w:rFonts w:ascii="Times New Roman" w:hAnsi="Times New Roman" w:cs="Times New Roman"/>
          <w:b/>
          <w:sz w:val="20"/>
          <w:szCs w:val="20"/>
        </w:rPr>
        <w:t>STATEMENT OF WORK</w:t>
      </w:r>
    </w:p>
    <w:p w14:paraId="252CD39D" w14:textId="77777777" w:rsidR="00140B21" w:rsidRPr="00140B21" w:rsidRDefault="00140B21" w:rsidP="00140B21">
      <w:pPr>
        <w:spacing w:after="0"/>
        <w:ind w:left="450" w:hanging="450"/>
        <w:jc w:val="center"/>
        <w:rPr>
          <w:rFonts w:ascii="Times New Roman" w:hAnsi="Times New Roman" w:cs="Times New Roman"/>
          <w:b/>
          <w:sz w:val="20"/>
          <w:szCs w:val="20"/>
        </w:rPr>
      </w:pPr>
    </w:p>
    <w:p w14:paraId="43BEF90A" w14:textId="77777777" w:rsidR="00531249" w:rsidRPr="00140B21" w:rsidRDefault="00531249" w:rsidP="00140B21">
      <w:pPr>
        <w:pStyle w:val="ListParagraph"/>
        <w:numPr>
          <w:ilvl w:val="0"/>
          <w:numId w:val="16"/>
        </w:numPr>
        <w:spacing w:after="0"/>
        <w:rPr>
          <w:rFonts w:ascii="Times New Roman" w:hAnsi="Times New Roman" w:cs="Times New Roman"/>
          <w:b/>
          <w:sz w:val="20"/>
          <w:szCs w:val="20"/>
        </w:rPr>
      </w:pPr>
      <w:r w:rsidRPr="00140B21">
        <w:rPr>
          <w:rFonts w:ascii="Times New Roman" w:hAnsi="Times New Roman" w:cs="Times New Roman"/>
          <w:b/>
          <w:sz w:val="20"/>
          <w:szCs w:val="20"/>
        </w:rPr>
        <w:t>BROKER OF RECORD</w:t>
      </w:r>
    </w:p>
    <w:p w14:paraId="1064C7A8" w14:textId="77777777" w:rsidR="00140B21" w:rsidRDefault="00140B21" w:rsidP="00140B21">
      <w:pPr>
        <w:spacing w:after="0"/>
        <w:ind w:left="720"/>
        <w:rPr>
          <w:rFonts w:ascii="Times New Roman" w:hAnsi="Times New Roman" w:cs="Times New Roman"/>
          <w:sz w:val="20"/>
          <w:szCs w:val="20"/>
        </w:rPr>
      </w:pPr>
    </w:p>
    <w:p w14:paraId="054C3567" w14:textId="77777777" w:rsidR="00C376B4" w:rsidRPr="00140B21" w:rsidRDefault="00BF4545" w:rsidP="00140B21">
      <w:pPr>
        <w:spacing w:after="0"/>
        <w:ind w:left="720"/>
        <w:rPr>
          <w:rFonts w:ascii="Times New Roman" w:hAnsi="Times New Roman" w:cs="Times New Roman"/>
          <w:sz w:val="20"/>
          <w:szCs w:val="20"/>
        </w:rPr>
      </w:pPr>
      <w:r w:rsidRPr="00140B21">
        <w:rPr>
          <w:rFonts w:ascii="Times New Roman" w:hAnsi="Times New Roman" w:cs="Times New Roman"/>
          <w:sz w:val="20"/>
          <w:szCs w:val="20"/>
        </w:rPr>
        <w:t xml:space="preserve">Contractor </w:t>
      </w:r>
      <w:r w:rsidR="007E3AA4">
        <w:rPr>
          <w:rFonts w:ascii="Times New Roman" w:hAnsi="Times New Roman" w:cs="Times New Roman"/>
          <w:sz w:val="20"/>
          <w:szCs w:val="20"/>
        </w:rPr>
        <w:t>will</w:t>
      </w:r>
      <w:r w:rsidRPr="00140B21">
        <w:rPr>
          <w:rFonts w:ascii="Times New Roman" w:hAnsi="Times New Roman" w:cs="Times New Roman"/>
          <w:sz w:val="20"/>
          <w:szCs w:val="20"/>
        </w:rPr>
        <w:t xml:space="preserve"> serve as the Court’s broker of record</w:t>
      </w:r>
      <w:r w:rsidR="00C376B4" w:rsidRPr="00140B21">
        <w:rPr>
          <w:rFonts w:ascii="Times New Roman" w:hAnsi="Times New Roman" w:cs="Times New Roman"/>
          <w:sz w:val="20"/>
          <w:szCs w:val="20"/>
        </w:rPr>
        <w:t xml:space="preserve"> for the following lines of coverage: </w:t>
      </w:r>
    </w:p>
    <w:p w14:paraId="57A95AD4" w14:textId="77777777" w:rsidR="00140B21" w:rsidRDefault="00140B21" w:rsidP="00140B21">
      <w:pPr>
        <w:pStyle w:val="ListParagraph"/>
        <w:spacing w:after="0"/>
        <w:ind w:left="1080"/>
        <w:rPr>
          <w:rFonts w:ascii="Times New Roman" w:hAnsi="Times New Roman" w:cs="Times New Roman"/>
          <w:sz w:val="20"/>
          <w:szCs w:val="20"/>
        </w:rPr>
      </w:pPr>
    </w:p>
    <w:p w14:paraId="170E4984" w14:textId="77777777" w:rsidR="00537FFE" w:rsidRDefault="00537FFE" w:rsidP="00140B21">
      <w:pPr>
        <w:pStyle w:val="ListParagraph"/>
        <w:numPr>
          <w:ilvl w:val="1"/>
          <w:numId w:val="10"/>
        </w:numPr>
        <w:spacing w:after="0"/>
        <w:ind w:left="1080"/>
        <w:rPr>
          <w:rFonts w:ascii="Times New Roman" w:hAnsi="Times New Roman" w:cs="Times New Roman"/>
          <w:sz w:val="20"/>
          <w:szCs w:val="20"/>
        </w:rPr>
        <w:sectPr w:rsidR="00537FFE" w:rsidSect="00851613">
          <w:headerReference w:type="default" r:id="rId8"/>
          <w:footerReference w:type="default" r:id="rId9"/>
          <w:headerReference w:type="first" r:id="rId10"/>
          <w:footerReference w:type="first" r:id="rId11"/>
          <w:pgSz w:w="12240" w:h="15840"/>
          <w:pgMar w:top="1296" w:right="1296" w:bottom="1296" w:left="1296" w:header="720" w:footer="720" w:gutter="0"/>
          <w:cols w:space="720"/>
          <w:titlePg/>
          <w:docGrid w:linePitch="360"/>
        </w:sectPr>
      </w:pPr>
    </w:p>
    <w:p w14:paraId="1A26FFE8"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Basic Life</w:t>
      </w:r>
    </w:p>
    <w:p w14:paraId="65342E89"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Supplemental Life</w:t>
      </w:r>
    </w:p>
    <w:p w14:paraId="1DEA3402" w14:textId="77777777" w:rsidR="00C376B4" w:rsidRPr="00140B21" w:rsidRDefault="00DB05F0" w:rsidP="00140B21">
      <w:pPr>
        <w:pStyle w:val="ListParagraph"/>
        <w:numPr>
          <w:ilvl w:val="1"/>
          <w:numId w:val="10"/>
        </w:numPr>
        <w:spacing w:after="0"/>
        <w:ind w:left="1080"/>
        <w:rPr>
          <w:rFonts w:ascii="Times New Roman" w:hAnsi="Times New Roman" w:cs="Times New Roman"/>
          <w:sz w:val="20"/>
          <w:szCs w:val="20"/>
        </w:rPr>
      </w:pPr>
      <w:r>
        <w:rPr>
          <w:rFonts w:ascii="Times New Roman" w:hAnsi="Times New Roman" w:cs="Times New Roman"/>
          <w:sz w:val="20"/>
          <w:szCs w:val="20"/>
        </w:rPr>
        <w:t xml:space="preserve">Federal </w:t>
      </w:r>
      <w:r w:rsidR="00C376B4" w:rsidRPr="00140B21">
        <w:rPr>
          <w:rFonts w:ascii="Times New Roman" w:hAnsi="Times New Roman" w:cs="Times New Roman"/>
          <w:sz w:val="20"/>
          <w:szCs w:val="20"/>
        </w:rPr>
        <w:t>COBRA</w:t>
      </w:r>
    </w:p>
    <w:p w14:paraId="3CD9FC54"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Group AD&amp;D</w:t>
      </w:r>
    </w:p>
    <w:p w14:paraId="11B206EC"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Short-Term Disability</w:t>
      </w:r>
    </w:p>
    <w:p w14:paraId="75C04E7E"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Long-Term Disability</w:t>
      </w:r>
    </w:p>
    <w:p w14:paraId="6D9031E7"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Medical</w:t>
      </w:r>
      <w:r w:rsidR="00866993">
        <w:rPr>
          <w:rFonts w:ascii="Times New Roman" w:hAnsi="Times New Roman" w:cs="Times New Roman"/>
          <w:sz w:val="20"/>
          <w:szCs w:val="20"/>
        </w:rPr>
        <w:t xml:space="preserve"> (HMO, PPO, Kaiser option)</w:t>
      </w:r>
    </w:p>
    <w:p w14:paraId="4FD76E1E"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Dental</w:t>
      </w:r>
      <w:r w:rsidR="00866993">
        <w:rPr>
          <w:rFonts w:ascii="Times New Roman" w:hAnsi="Times New Roman" w:cs="Times New Roman"/>
          <w:sz w:val="20"/>
          <w:szCs w:val="20"/>
        </w:rPr>
        <w:t xml:space="preserve"> (HMO, PPO)</w:t>
      </w:r>
    </w:p>
    <w:p w14:paraId="16A850D7" w14:textId="77777777" w:rsidR="00C376B4" w:rsidRPr="00140B21"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Vision</w:t>
      </w:r>
    </w:p>
    <w:p w14:paraId="5231F6B6" w14:textId="77777777" w:rsidR="00C376B4" w:rsidRDefault="00F06A0E" w:rsidP="00140B21">
      <w:pPr>
        <w:pStyle w:val="ListParagraph"/>
        <w:numPr>
          <w:ilvl w:val="1"/>
          <w:numId w:val="10"/>
        </w:numPr>
        <w:spacing w:after="0"/>
        <w:ind w:left="1080"/>
        <w:rPr>
          <w:rFonts w:ascii="Times New Roman" w:hAnsi="Times New Roman" w:cs="Times New Roman"/>
          <w:sz w:val="20"/>
          <w:szCs w:val="20"/>
        </w:rPr>
      </w:pPr>
      <w:r>
        <w:rPr>
          <w:rFonts w:ascii="Times New Roman" w:hAnsi="Times New Roman" w:cs="Times New Roman"/>
          <w:sz w:val="20"/>
          <w:szCs w:val="20"/>
        </w:rPr>
        <w:t>Employee Assistance Plan</w:t>
      </w:r>
      <w:r w:rsidR="00DB05F0">
        <w:rPr>
          <w:rFonts w:ascii="Times New Roman" w:hAnsi="Times New Roman" w:cs="Times New Roman"/>
          <w:sz w:val="20"/>
          <w:szCs w:val="20"/>
        </w:rPr>
        <w:t xml:space="preserve"> (EAP)</w:t>
      </w:r>
    </w:p>
    <w:p w14:paraId="5BE854DB" w14:textId="1D40BCC1" w:rsidR="00494107" w:rsidRPr="00140B21" w:rsidRDefault="00494107" w:rsidP="00140B21">
      <w:pPr>
        <w:pStyle w:val="ListParagraph"/>
        <w:numPr>
          <w:ilvl w:val="1"/>
          <w:numId w:val="10"/>
        </w:numPr>
        <w:spacing w:after="0"/>
        <w:ind w:left="1080"/>
        <w:rPr>
          <w:rFonts w:ascii="Times New Roman" w:hAnsi="Times New Roman" w:cs="Times New Roman"/>
          <w:sz w:val="20"/>
          <w:szCs w:val="20"/>
        </w:rPr>
      </w:pPr>
      <w:r>
        <w:rPr>
          <w:rFonts w:ascii="Times New Roman" w:hAnsi="Times New Roman" w:cs="Times New Roman"/>
          <w:sz w:val="20"/>
          <w:szCs w:val="20"/>
        </w:rPr>
        <w:t>Critical Illness</w:t>
      </w:r>
    </w:p>
    <w:p w14:paraId="61D27D35" w14:textId="77777777" w:rsidR="00C376B4" w:rsidRPr="00140B21" w:rsidRDefault="00F06A0E" w:rsidP="00140B21">
      <w:pPr>
        <w:pStyle w:val="ListParagraph"/>
        <w:numPr>
          <w:ilvl w:val="1"/>
          <w:numId w:val="10"/>
        </w:numPr>
        <w:spacing w:after="0"/>
        <w:ind w:left="1080"/>
        <w:rPr>
          <w:rFonts w:ascii="Times New Roman" w:hAnsi="Times New Roman" w:cs="Times New Roman"/>
          <w:sz w:val="20"/>
          <w:szCs w:val="20"/>
        </w:rPr>
      </w:pPr>
      <w:r>
        <w:rPr>
          <w:rFonts w:ascii="Times New Roman" w:hAnsi="Times New Roman" w:cs="Times New Roman"/>
          <w:sz w:val="20"/>
          <w:szCs w:val="20"/>
        </w:rPr>
        <w:t>Flexible Spending Account- DCAP (FSA-</w:t>
      </w:r>
      <w:r w:rsidR="00C376B4" w:rsidRPr="00140B21">
        <w:rPr>
          <w:rFonts w:ascii="Times New Roman" w:hAnsi="Times New Roman" w:cs="Times New Roman"/>
          <w:sz w:val="20"/>
          <w:szCs w:val="20"/>
        </w:rPr>
        <w:t>Depende</w:t>
      </w:r>
      <w:r>
        <w:rPr>
          <w:rFonts w:ascii="Times New Roman" w:hAnsi="Times New Roman" w:cs="Times New Roman"/>
          <w:sz w:val="20"/>
          <w:szCs w:val="20"/>
        </w:rPr>
        <w:t>nt Care Assistance Program</w:t>
      </w:r>
      <w:r w:rsidR="00C376B4" w:rsidRPr="00140B21">
        <w:rPr>
          <w:rFonts w:ascii="Times New Roman" w:hAnsi="Times New Roman" w:cs="Times New Roman"/>
          <w:sz w:val="20"/>
          <w:szCs w:val="20"/>
        </w:rPr>
        <w:t>)</w:t>
      </w:r>
    </w:p>
    <w:p w14:paraId="631A32F8" w14:textId="77777777" w:rsidR="00C376B4"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 xml:space="preserve">Flexible Spending Account </w:t>
      </w:r>
      <w:r w:rsidR="00F06A0E">
        <w:rPr>
          <w:rFonts w:ascii="Times New Roman" w:hAnsi="Times New Roman" w:cs="Times New Roman"/>
          <w:sz w:val="20"/>
          <w:szCs w:val="20"/>
        </w:rPr>
        <w:t xml:space="preserve">– HC </w:t>
      </w:r>
      <w:r w:rsidRPr="00140B21">
        <w:rPr>
          <w:rFonts w:ascii="Times New Roman" w:hAnsi="Times New Roman" w:cs="Times New Roman"/>
          <w:sz w:val="20"/>
          <w:szCs w:val="20"/>
        </w:rPr>
        <w:t>(FSA – Health Care)</w:t>
      </w:r>
    </w:p>
    <w:p w14:paraId="17EC440A" w14:textId="72F4FD24" w:rsidR="00494107" w:rsidRPr="00140B21" w:rsidRDefault="00494107" w:rsidP="00494107">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 xml:space="preserve">Flexible Spending Account </w:t>
      </w:r>
      <w:r>
        <w:rPr>
          <w:rFonts w:ascii="Times New Roman" w:hAnsi="Times New Roman" w:cs="Times New Roman"/>
          <w:sz w:val="20"/>
          <w:szCs w:val="20"/>
        </w:rPr>
        <w:t>– Commuter Services</w:t>
      </w:r>
    </w:p>
    <w:p w14:paraId="7EC4EADF" w14:textId="43C189B9" w:rsidR="00494107" w:rsidRPr="00140B21" w:rsidRDefault="00494107" w:rsidP="00140B21">
      <w:pPr>
        <w:pStyle w:val="ListParagraph"/>
        <w:numPr>
          <w:ilvl w:val="1"/>
          <w:numId w:val="10"/>
        </w:numPr>
        <w:spacing w:after="0"/>
        <w:ind w:left="1080"/>
        <w:rPr>
          <w:rFonts w:ascii="Times New Roman" w:hAnsi="Times New Roman" w:cs="Times New Roman"/>
          <w:sz w:val="20"/>
          <w:szCs w:val="20"/>
        </w:rPr>
      </w:pPr>
      <w:r>
        <w:rPr>
          <w:rFonts w:ascii="Times New Roman" w:hAnsi="Times New Roman" w:cs="Times New Roman"/>
          <w:sz w:val="20"/>
          <w:szCs w:val="20"/>
        </w:rPr>
        <w:t>Leave of Absence Administration</w:t>
      </w:r>
    </w:p>
    <w:p w14:paraId="7F223054" w14:textId="77777777" w:rsidR="00DB05F0" w:rsidRDefault="00C376B4" w:rsidP="00140B21">
      <w:pPr>
        <w:pStyle w:val="ListParagraph"/>
        <w:numPr>
          <w:ilvl w:val="1"/>
          <w:numId w:val="10"/>
        </w:numPr>
        <w:spacing w:after="0"/>
        <w:ind w:left="1080"/>
        <w:rPr>
          <w:rFonts w:ascii="Times New Roman" w:hAnsi="Times New Roman" w:cs="Times New Roman"/>
          <w:sz w:val="20"/>
          <w:szCs w:val="20"/>
        </w:rPr>
      </w:pPr>
      <w:r w:rsidRPr="00140B21">
        <w:rPr>
          <w:rFonts w:ascii="Times New Roman" w:hAnsi="Times New Roman" w:cs="Times New Roman"/>
          <w:sz w:val="20"/>
          <w:szCs w:val="20"/>
        </w:rPr>
        <w:t>Retiree Medical</w:t>
      </w:r>
      <w:r w:rsidR="00DB05F0">
        <w:rPr>
          <w:rFonts w:ascii="Times New Roman" w:hAnsi="Times New Roman" w:cs="Times New Roman"/>
          <w:sz w:val="20"/>
          <w:szCs w:val="20"/>
        </w:rPr>
        <w:t xml:space="preserve"> (Pre and post Medicare)</w:t>
      </w:r>
    </w:p>
    <w:p w14:paraId="5DA4F75B" w14:textId="77777777" w:rsidR="00C376B4" w:rsidRPr="00140B21" w:rsidRDefault="00DB05F0" w:rsidP="00140B21">
      <w:pPr>
        <w:pStyle w:val="ListParagraph"/>
        <w:numPr>
          <w:ilvl w:val="1"/>
          <w:numId w:val="10"/>
        </w:numPr>
        <w:spacing w:after="0"/>
        <w:ind w:left="1080"/>
        <w:rPr>
          <w:rFonts w:ascii="Times New Roman" w:hAnsi="Times New Roman" w:cs="Times New Roman"/>
          <w:sz w:val="20"/>
          <w:szCs w:val="20"/>
        </w:rPr>
      </w:pPr>
      <w:r>
        <w:rPr>
          <w:rFonts w:ascii="Times New Roman" w:hAnsi="Times New Roman" w:cs="Times New Roman"/>
          <w:sz w:val="20"/>
          <w:szCs w:val="20"/>
        </w:rPr>
        <w:t>Wellness Program</w:t>
      </w:r>
      <w:r w:rsidR="00C376B4" w:rsidRPr="00140B21">
        <w:rPr>
          <w:rFonts w:ascii="Times New Roman" w:hAnsi="Times New Roman" w:cs="Times New Roman"/>
          <w:sz w:val="20"/>
          <w:szCs w:val="20"/>
        </w:rPr>
        <w:t xml:space="preserve"> </w:t>
      </w:r>
    </w:p>
    <w:p w14:paraId="1CB24D2E" w14:textId="77777777" w:rsidR="00537FFE" w:rsidRDefault="00537FFE" w:rsidP="00140B21">
      <w:pPr>
        <w:pStyle w:val="ListParagraph"/>
        <w:spacing w:after="0"/>
        <w:rPr>
          <w:rFonts w:ascii="Times New Roman" w:hAnsi="Times New Roman" w:cs="Times New Roman"/>
          <w:sz w:val="20"/>
          <w:szCs w:val="20"/>
        </w:rPr>
        <w:sectPr w:rsidR="00537FFE" w:rsidSect="00537FFE">
          <w:type w:val="continuous"/>
          <w:pgSz w:w="12240" w:h="15840"/>
          <w:pgMar w:top="1440" w:right="1440" w:bottom="1440" w:left="1440" w:header="720" w:footer="720" w:gutter="0"/>
          <w:cols w:num="2" w:space="720"/>
          <w:titlePg/>
          <w:docGrid w:linePitch="360"/>
        </w:sectPr>
      </w:pPr>
    </w:p>
    <w:p w14:paraId="7F479F7F" w14:textId="77777777" w:rsidR="00531249" w:rsidRDefault="00531249" w:rsidP="00140B21">
      <w:pPr>
        <w:pStyle w:val="ListParagraph"/>
        <w:spacing w:after="0"/>
        <w:rPr>
          <w:rFonts w:ascii="Times New Roman" w:hAnsi="Times New Roman" w:cs="Times New Roman"/>
          <w:sz w:val="20"/>
          <w:szCs w:val="20"/>
        </w:rPr>
      </w:pPr>
    </w:p>
    <w:p w14:paraId="79BEB768" w14:textId="77777777" w:rsidR="00140B21" w:rsidRPr="00140B21" w:rsidRDefault="00531249" w:rsidP="00140B21">
      <w:pPr>
        <w:pStyle w:val="ListParagraph"/>
        <w:numPr>
          <w:ilvl w:val="0"/>
          <w:numId w:val="16"/>
        </w:numPr>
        <w:spacing w:after="0"/>
        <w:rPr>
          <w:rFonts w:ascii="Times New Roman" w:hAnsi="Times New Roman" w:cs="Times New Roman"/>
          <w:sz w:val="20"/>
          <w:szCs w:val="20"/>
        </w:rPr>
      </w:pPr>
      <w:r w:rsidRPr="00140B21">
        <w:rPr>
          <w:rFonts w:ascii="Times New Roman" w:hAnsi="Times New Roman" w:cs="Times New Roman"/>
          <w:b/>
          <w:sz w:val="20"/>
          <w:szCs w:val="20"/>
        </w:rPr>
        <w:t>G</w:t>
      </w:r>
      <w:r w:rsidR="00C1690C" w:rsidRPr="00140B21">
        <w:rPr>
          <w:rFonts w:ascii="Times New Roman" w:hAnsi="Times New Roman" w:cs="Times New Roman"/>
          <w:b/>
          <w:sz w:val="20"/>
          <w:szCs w:val="20"/>
        </w:rPr>
        <w:t>ENERAL RESPONSIBILITIES</w:t>
      </w:r>
    </w:p>
    <w:p w14:paraId="248EFCC1" w14:textId="77777777" w:rsidR="00140B21" w:rsidRPr="00140B21" w:rsidRDefault="00140B21" w:rsidP="00140B21">
      <w:pPr>
        <w:pStyle w:val="ListParagraph"/>
        <w:spacing w:after="0"/>
        <w:rPr>
          <w:rFonts w:ascii="Times New Roman" w:hAnsi="Times New Roman" w:cs="Times New Roman"/>
          <w:sz w:val="20"/>
          <w:szCs w:val="20"/>
        </w:rPr>
      </w:pPr>
    </w:p>
    <w:p w14:paraId="1C834837" w14:textId="77777777" w:rsidR="00140B21" w:rsidRDefault="00BF4545" w:rsidP="00140B21">
      <w:pPr>
        <w:pStyle w:val="ListParagraph"/>
        <w:numPr>
          <w:ilvl w:val="1"/>
          <w:numId w:val="16"/>
        </w:numPr>
        <w:spacing w:after="0"/>
        <w:rPr>
          <w:rFonts w:ascii="Times New Roman" w:hAnsi="Times New Roman" w:cs="Times New Roman"/>
          <w:sz w:val="20"/>
          <w:szCs w:val="20"/>
        </w:rPr>
      </w:pPr>
      <w:proofErr w:type="gramStart"/>
      <w:r w:rsidRPr="00140B21">
        <w:rPr>
          <w:rFonts w:ascii="Times New Roman" w:hAnsi="Times New Roman" w:cs="Times New Roman"/>
          <w:sz w:val="20"/>
          <w:szCs w:val="20"/>
        </w:rPr>
        <w:t>Contractor</w:t>
      </w:r>
      <w:proofErr w:type="gramEnd"/>
      <w:r w:rsidRPr="00140B21">
        <w:rPr>
          <w:rFonts w:ascii="Times New Roman" w:hAnsi="Times New Roman" w:cs="Times New Roman"/>
          <w:sz w:val="20"/>
          <w:szCs w:val="20"/>
        </w:rPr>
        <w:t xml:space="preserve"> </w:t>
      </w:r>
      <w:r w:rsidR="007E3AA4">
        <w:rPr>
          <w:rFonts w:ascii="Times New Roman" w:hAnsi="Times New Roman" w:cs="Times New Roman"/>
          <w:sz w:val="20"/>
          <w:szCs w:val="20"/>
        </w:rPr>
        <w:t>will</w:t>
      </w:r>
      <w:r w:rsidRPr="00140B21">
        <w:rPr>
          <w:rFonts w:ascii="Times New Roman" w:hAnsi="Times New Roman" w:cs="Times New Roman"/>
          <w:sz w:val="20"/>
          <w:szCs w:val="20"/>
        </w:rPr>
        <w:t xml:space="preserve"> </w:t>
      </w:r>
      <w:r w:rsidR="00866993">
        <w:rPr>
          <w:rFonts w:ascii="Times New Roman" w:hAnsi="Times New Roman" w:cs="Times New Roman"/>
          <w:sz w:val="20"/>
          <w:szCs w:val="20"/>
        </w:rPr>
        <w:t xml:space="preserve">research, acquire, administer, and advise on the Court’s employee benefit plans and programs, as direct by the Court. </w:t>
      </w:r>
    </w:p>
    <w:p w14:paraId="7376201F" w14:textId="77777777" w:rsidR="00866993" w:rsidRDefault="0029084F" w:rsidP="0030516E">
      <w:pPr>
        <w:pStyle w:val="ListParagraph"/>
        <w:numPr>
          <w:ilvl w:val="1"/>
          <w:numId w:val="16"/>
        </w:numPr>
        <w:spacing w:after="0"/>
        <w:rPr>
          <w:rFonts w:ascii="Times New Roman" w:hAnsi="Times New Roman" w:cs="Times New Roman"/>
          <w:sz w:val="20"/>
          <w:szCs w:val="20"/>
        </w:rPr>
      </w:pPr>
      <w:r w:rsidRPr="00866993">
        <w:rPr>
          <w:rFonts w:ascii="Times New Roman" w:hAnsi="Times New Roman" w:cs="Times New Roman"/>
          <w:sz w:val="20"/>
          <w:szCs w:val="20"/>
        </w:rPr>
        <w:t xml:space="preserve">Contractor </w:t>
      </w:r>
      <w:r w:rsidR="007E3AA4" w:rsidRPr="00866993">
        <w:rPr>
          <w:rFonts w:ascii="Times New Roman" w:hAnsi="Times New Roman" w:cs="Times New Roman"/>
          <w:sz w:val="20"/>
          <w:szCs w:val="20"/>
        </w:rPr>
        <w:t>will</w:t>
      </w:r>
      <w:r w:rsidRPr="00866993">
        <w:rPr>
          <w:rFonts w:ascii="Times New Roman" w:hAnsi="Times New Roman" w:cs="Times New Roman"/>
          <w:sz w:val="20"/>
          <w:szCs w:val="20"/>
        </w:rPr>
        <w:t xml:space="preserve"> </w:t>
      </w:r>
      <w:r w:rsidR="00866993" w:rsidRPr="00866993">
        <w:rPr>
          <w:rFonts w:ascii="Times New Roman" w:hAnsi="Times New Roman" w:cs="Times New Roman"/>
          <w:sz w:val="20"/>
          <w:szCs w:val="20"/>
        </w:rPr>
        <w:t xml:space="preserve">conduct market research and make recommendations regarding: </w:t>
      </w:r>
    </w:p>
    <w:p w14:paraId="15BB43AB" w14:textId="77777777" w:rsidR="00866993" w:rsidRDefault="009E7C50" w:rsidP="00866993">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T</w:t>
      </w:r>
      <w:r w:rsidR="00866993">
        <w:rPr>
          <w:rFonts w:ascii="Times New Roman" w:hAnsi="Times New Roman" w:cs="Times New Roman"/>
          <w:sz w:val="20"/>
          <w:szCs w:val="20"/>
        </w:rPr>
        <w:t>he availability of value-added benefit plans and programs</w:t>
      </w:r>
      <w:r w:rsidR="00FF11D5">
        <w:rPr>
          <w:rFonts w:ascii="Times New Roman" w:hAnsi="Times New Roman" w:cs="Times New Roman"/>
          <w:sz w:val="20"/>
          <w:szCs w:val="20"/>
        </w:rPr>
        <w:t>.</w:t>
      </w:r>
    </w:p>
    <w:p w14:paraId="4C1FBB15" w14:textId="56716175" w:rsidR="00866993" w:rsidRDefault="009E7C50" w:rsidP="00866993">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M</w:t>
      </w:r>
      <w:r w:rsidR="00866993">
        <w:rPr>
          <w:rFonts w:ascii="Times New Roman" w:hAnsi="Times New Roman" w:cs="Times New Roman"/>
          <w:sz w:val="20"/>
          <w:szCs w:val="20"/>
        </w:rPr>
        <w:t>odifications to the design, cost (rates</w:t>
      </w:r>
      <w:r w:rsidR="00494107">
        <w:rPr>
          <w:rFonts w:ascii="Times New Roman" w:hAnsi="Times New Roman" w:cs="Times New Roman"/>
          <w:sz w:val="20"/>
          <w:szCs w:val="20"/>
        </w:rPr>
        <w:t>)</w:t>
      </w:r>
      <w:r w:rsidR="00866993">
        <w:rPr>
          <w:rFonts w:ascii="Times New Roman" w:hAnsi="Times New Roman" w:cs="Times New Roman"/>
          <w:sz w:val="20"/>
          <w:szCs w:val="20"/>
        </w:rPr>
        <w:t xml:space="preserve"> and quality of all current and new employee benefit plans and programs</w:t>
      </w:r>
      <w:r w:rsidR="00FF11D5">
        <w:rPr>
          <w:rFonts w:ascii="Times New Roman" w:hAnsi="Times New Roman" w:cs="Times New Roman"/>
          <w:sz w:val="20"/>
          <w:szCs w:val="20"/>
        </w:rPr>
        <w:t>.</w:t>
      </w:r>
    </w:p>
    <w:p w14:paraId="7858E4CD" w14:textId="48F69065" w:rsidR="00140B21" w:rsidRPr="00866993" w:rsidRDefault="0029084F" w:rsidP="0030516E">
      <w:pPr>
        <w:pStyle w:val="ListParagraph"/>
        <w:numPr>
          <w:ilvl w:val="1"/>
          <w:numId w:val="16"/>
        </w:numPr>
        <w:spacing w:after="0"/>
        <w:rPr>
          <w:rFonts w:ascii="Times New Roman" w:hAnsi="Times New Roman" w:cs="Times New Roman"/>
          <w:sz w:val="20"/>
          <w:szCs w:val="20"/>
        </w:rPr>
      </w:pPr>
      <w:r w:rsidRPr="00866993">
        <w:rPr>
          <w:rFonts w:ascii="Times New Roman" w:hAnsi="Times New Roman" w:cs="Times New Roman"/>
          <w:sz w:val="20"/>
          <w:szCs w:val="20"/>
        </w:rPr>
        <w:t xml:space="preserve">Contractor </w:t>
      </w:r>
      <w:r w:rsidR="007E3AA4" w:rsidRPr="00866993">
        <w:rPr>
          <w:rFonts w:ascii="Times New Roman" w:hAnsi="Times New Roman" w:cs="Times New Roman"/>
          <w:sz w:val="20"/>
          <w:szCs w:val="20"/>
        </w:rPr>
        <w:t>will</w:t>
      </w:r>
      <w:r w:rsidRPr="00866993">
        <w:rPr>
          <w:rFonts w:ascii="Times New Roman" w:hAnsi="Times New Roman" w:cs="Times New Roman"/>
          <w:sz w:val="20"/>
          <w:szCs w:val="20"/>
        </w:rPr>
        <w:t xml:space="preserve"> </w:t>
      </w:r>
      <w:r w:rsidR="00E06665">
        <w:rPr>
          <w:rFonts w:ascii="Times New Roman" w:hAnsi="Times New Roman" w:cs="Times New Roman"/>
          <w:sz w:val="20"/>
          <w:szCs w:val="20"/>
        </w:rPr>
        <w:t xml:space="preserve">review, </w:t>
      </w:r>
      <w:r w:rsidR="00A233EE">
        <w:rPr>
          <w:rFonts w:ascii="Times New Roman" w:hAnsi="Times New Roman" w:cs="Times New Roman"/>
          <w:sz w:val="20"/>
          <w:szCs w:val="20"/>
        </w:rPr>
        <w:t>participate,</w:t>
      </w:r>
      <w:r w:rsidR="00E06665">
        <w:rPr>
          <w:rFonts w:ascii="Times New Roman" w:hAnsi="Times New Roman" w:cs="Times New Roman"/>
          <w:sz w:val="20"/>
          <w:szCs w:val="20"/>
        </w:rPr>
        <w:t xml:space="preserve"> and make recommendations to the Court and to the Employee Benefits Advisory Committee (EBAC) for </w:t>
      </w:r>
      <w:r w:rsidR="00A233EE">
        <w:rPr>
          <w:rFonts w:ascii="Times New Roman" w:hAnsi="Times New Roman" w:cs="Times New Roman"/>
          <w:sz w:val="20"/>
          <w:szCs w:val="20"/>
        </w:rPr>
        <w:t>value-added</w:t>
      </w:r>
      <w:r w:rsidR="00E06665">
        <w:rPr>
          <w:rFonts w:ascii="Times New Roman" w:hAnsi="Times New Roman" w:cs="Times New Roman"/>
          <w:sz w:val="20"/>
          <w:szCs w:val="20"/>
        </w:rPr>
        <w:t xml:space="preserve"> benefit plans and programs as well as modifications to the design, cost (rates) and quality of current employee benefit plans and programs. </w:t>
      </w:r>
    </w:p>
    <w:p w14:paraId="054E73F4" w14:textId="77777777" w:rsidR="00140B21" w:rsidRDefault="00396DEE" w:rsidP="00140B21">
      <w:pPr>
        <w:pStyle w:val="ListParagraph"/>
        <w:numPr>
          <w:ilvl w:val="1"/>
          <w:numId w:val="16"/>
        </w:numPr>
        <w:spacing w:after="0"/>
        <w:rPr>
          <w:rFonts w:ascii="Times New Roman" w:hAnsi="Times New Roman" w:cs="Times New Roman"/>
          <w:sz w:val="20"/>
          <w:szCs w:val="20"/>
        </w:rPr>
      </w:pPr>
      <w:r w:rsidRPr="00140B21">
        <w:rPr>
          <w:rFonts w:ascii="Times New Roman" w:hAnsi="Times New Roman" w:cs="Times New Roman"/>
          <w:sz w:val="20"/>
          <w:szCs w:val="20"/>
        </w:rPr>
        <w:t xml:space="preserve">Contractor </w:t>
      </w:r>
      <w:r w:rsidR="007E3AA4">
        <w:rPr>
          <w:rFonts w:ascii="Times New Roman" w:hAnsi="Times New Roman" w:cs="Times New Roman"/>
          <w:sz w:val="20"/>
          <w:szCs w:val="20"/>
        </w:rPr>
        <w:t>will</w:t>
      </w:r>
      <w:r w:rsidRPr="00140B21">
        <w:rPr>
          <w:rFonts w:ascii="Times New Roman" w:hAnsi="Times New Roman" w:cs="Times New Roman"/>
          <w:sz w:val="20"/>
          <w:szCs w:val="20"/>
        </w:rPr>
        <w:t xml:space="preserve"> </w:t>
      </w:r>
      <w:r w:rsidR="00E06665">
        <w:rPr>
          <w:rFonts w:ascii="Times New Roman" w:hAnsi="Times New Roman" w:cs="Times New Roman"/>
          <w:sz w:val="20"/>
          <w:szCs w:val="20"/>
        </w:rPr>
        <w:t>provide guidance pertaining to the Court’s employee benefit plans and programs including analysis and application of all relevant laws, statutes, and regulations.</w:t>
      </w:r>
    </w:p>
    <w:p w14:paraId="2DC30546" w14:textId="77777777" w:rsidR="00140B21" w:rsidRDefault="0029084F" w:rsidP="00140B21">
      <w:pPr>
        <w:pStyle w:val="ListParagraph"/>
        <w:numPr>
          <w:ilvl w:val="1"/>
          <w:numId w:val="16"/>
        </w:numPr>
        <w:spacing w:after="0"/>
        <w:rPr>
          <w:rFonts w:ascii="Times New Roman" w:hAnsi="Times New Roman" w:cs="Times New Roman"/>
          <w:sz w:val="20"/>
          <w:szCs w:val="20"/>
        </w:rPr>
      </w:pPr>
      <w:r w:rsidRPr="00140B21">
        <w:rPr>
          <w:rFonts w:ascii="Times New Roman" w:hAnsi="Times New Roman" w:cs="Times New Roman"/>
          <w:sz w:val="20"/>
          <w:szCs w:val="20"/>
        </w:rPr>
        <w:t xml:space="preserve">Contractor </w:t>
      </w:r>
      <w:r w:rsidR="007E3AA4">
        <w:rPr>
          <w:rFonts w:ascii="Times New Roman" w:hAnsi="Times New Roman" w:cs="Times New Roman"/>
          <w:sz w:val="20"/>
          <w:szCs w:val="20"/>
        </w:rPr>
        <w:t>will</w:t>
      </w:r>
      <w:r w:rsidRPr="00140B21">
        <w:rPr>
          <w:rFonts w:ascii="Times New Roman" w:hAnsi="Times New Roman" w:cs="Times New Roman"/>
          <w:sz w:val="20"/>
          <w:szCs w:val="20"/>
        </w:rPr>
        <w:t xml:space="preserve"> </w:t>
      </w:r>
      <w:r w:rsidR="00E06665">
        <w:rPr>
          <w:rFonts w:ascii="Times New Roman" w:hAnsi="Times New Roman" w:cs="Times New Roman"/>
          <w:sz w:val="20"/>
          <w:szCs w:val="20"/>
        </w:rPr>
        <w:t xml:space="preserve">design specifications and prepare Requests for Proposals (RFPs) for the Court’s approval that comply with applicable federal and state laws, statues, regulations, and rules, including the Judicial Branch Contracting Manual located at </w:t>
      </w:r>
      <w:hyperlink r:id="rId12" w:history="1">
        <w:r w:rsidR="00E06665" w:rsidRPr="0084402B">
          <w:rPr>
            <w:rStyle w:val="Hyperlink"/>
            <w:rFonts w:ascii="Times New Roman" w:hAnsi="Times New Roman" w:cs="Times New Roman"/>
            <w:sz w:val="20"/>
            <w:szCs w:val="20"/>
          </w:rPr>
          <w:t>http://www.courts.ca.gov/documents/jbcl-manual.pdf</w:t>
        </w:r>
      </w:hyperlink>
      <w:r w:rsidR="00E06665">
        <w:rPr>
          <w:rFonts w:ascii="Times New Roman" w:hAnsi="Times New Roman" w:cs="Times New Roman"/>
          <w:sz w:val="20"/>
          <w:szCs w:val="20"/>
        </w:rPr>
        <w:t xml:space="preserve"> and the Court’s Local Contracting Manual (LCM). All RFPs must be consistent with the Court’s procurement policies and procedures. </w:t>
      </w:r>
    </w:p>
    <w:p w14:paraId="2DAE19A9" w14:textId="77777777" w:rsidR="00140B21" w:rsidRDefault="00E06665" w:rsidP="0030516E">
      <w:pPr>
        <w:pStyle w:val="ListParagraph"/>
        <w:numPr>
          <w:ilvl w:val="1"/>
          <w:numId w:val="16"/>
        </w:numPr>
        <w:spacing w:after="0"/>
        <w:rPr>
          <w:rFonts w:ascii="Times New Roman" w:hAnsi="Times New Roman" w:cs="Times New Roman"/>
          <w:sz w:val="20"/>
          <w:szCs w:val="20"/>
        </w:rPr>
      </w:pPr>
      <w:r w:rsidRPr="00E06665">
        <w:rPr>
          <w:rFonts w:ascii="Times New Roman" w:hAnsi="Times New Roman" w:cs="Times New Roman"/>
          <w:sz w:val="20"/>
          <w:szCs w:val="20"/>
        </w:rPr>
        <w:t>Contractor</w:t>
      </w:r>
      <w:r w:rsidR="00FF11D5">
        <w:rPr>
          <w:rFonts w:ascii="Times New Roman" w:hAnsi="Times New Roman" w:cs="Times New Roman"/>
          <w:sz w:val="20"/>
          <w:szCs w:val="20"/>
        </w:rPr>
        <w:t xml:space="preserve"> will be knowledgeable about the </w:t>
      </w:r>
      <w:r w:rsidRPr="00E06665">
        <w:rPr>
          <w:rFonts w:ascii="Times New Roman" w:hAnsi="Times New Roman" w:cs="Times New Roman"/>
          <w:sz w:val="20"/>
          <w:szCs w:val="20"/>
        </w:rPr>
        <w:t xml:space="preserve">JBCM and the Court’s LCM and provide the Court’s Contracts and Procurement department the RFP for review and approval prior to release. </w:t>
      </w:r>
    </w:p>
    <w:p w14:paraId="0B1B29F6" w14:textId="77777777" w:rsidR="00E06665" w:rsidRDefault="00E06665"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manage the RFP process for </w:t>
      </w:r>
      <w:r w:rsidR="001E7124">
        <w:rPr>
          <w:rFonts w:ascii="Times New Roman" w:hAnsi="Times New Roman" w:cs="Times New Roman"/>
          <w:sz w:val="20"/>
          <w:szCs w:val="20"/>
        </w:rPr>
        <w:t xml:space="preserve">the employee insurance/benefits </w:t>
      </w:r>
      <w:r>
        <w:rPr>
          <w:rFonts w:ascii="Times New Roman" w:hAnsi="Times New Roman" w:cs="Times New Roman"/>
          <w:sz w:val="20"/>
          <w:szCs w:val="20"/>
        </w:rPr>
        <w:t>set forth in S</w:t>
      </w:r>
      <w:r w:rsidR="00F548FF">
        <w:rPr>
          <w:rFonts w:ascii="Times New Roman" w:hAnsi="Times New Roman" w:cs="Times New Roman"/>
          <w:sz w:val="20"/>
          <w:szCs w:val="20"/>
        </w:rPr>
        <w:t>ection 1.</w:t>
      </w:r>
    </w:p>
    <w:p w14:paraId="2C25735F" w14:textId="5E4FE6EE" w:rsidR="00F548FF" w:rsidRDefault="00F548FF" w:rsidP="0030516E">
      <w:pPr>
        <w:pStyle w:val="ListParagraph"/>
        <w:numPr>
          <w:ilvl w:val="1"/>
          <w:numId w:val="16"/>
        </w:numPr>
        <w:spacing w:after="0"/>
        <w:rPr>
          <w:rFonts w:ascii="Times New Roman" w:hAnsi="Times New Roman" w:cs="Times New Roman"/>
          <w:sz w:val="20"/>
          <w:szCs w:val="20"/>
        </w:rPr>
      </w:pPr>
      <w:proofErr w:type="gramStart"/>
      <w:r>
        <w:rPr>
          <w:rFonts w:ascii="Times New Roman" w:hAnsi="Times New Roman" w:cs="Times New Roman"/>
          <w:sz w:val="20"/>
          <w:szCs w:val="20"/>
        </w:rPr>
        <w:t>Contractor</w:t>
      </w:r>
      <w:proofErr w:type="gramEnd"/>
      <w:r>
        <w:rPr>
          <w:rFonts w:ascii="Times New Roman" w:hAnsi="Times New Roman" w:cs="Times New Roman"/>
          <w:sz w:val="20"/>
          <w:szCs w:val="20"/>
        </w:rPr>
        <w:t xml:space="preserve"> will develop responses to solicitation and award protests, if any, from the RFP process for review by the </w:t>
      </w:r>
      <w:proofErr w:type="gramStart"/>
      <w:r>
        <w:rPr>
          <w:rFonts w:ascii="Times New Roman" w:hAnsi="Times New Roman" w:cs="Times New Roman"/>
          <w:sz w:val="20"/>
          <w:szCs w:val="20"/>
        </w:rPr>
        <w:t xml:space="preserve">Court’s </w:t>
      </w:r>
      <w:r w:rsidR="00494107">
        <w:rPr>
          <w:rFonts w:ascii="Times New Roman" w:hAnsi="Times New Roman" w:cs="Times New Roman"/>
          <w:sz w:val="20"/>
          <w:szCs w:val="20"/>
        </w:rPr>
        <w:t xml:space="preserve"> </w:t>
      </w:r>
      <w:r w:rsidR="00A233EE">
        <w:rPr>
          <w:rFonts w:ascii="Times New Roman" w:hAnsi="Times New Roman" w:cs="Times New Roman"/>
          <w:sz w:val="20"/>
          <w:szCs w:val="20"/>
        </w:rPr>
        <w:t>Legal</w:t>
      </w:r>
      <w:proofErr w:type="gramEnd"/>
      <w:r w:rsidR="00A233EE">
        <w:rPr>
          <w:rFonts w:ascii="Times New Roman" w:hAnsi="Times New Roman" w:cs="Times New Roman"/>
          <w:sz w:val="20"/>
          <w:szCs w:val="20"/>
        </w:rPr>
        <w:t xml:space="preserve"> Counsel</w:t>
      </w:r>
      <w:r>
        <w:rPr>
          <w:rFonts w:ascii="Times New Roman" w:hAnsi="Times New Roman" w:cs="Times New Roman"/>
          <w:sz w:val="20"/>
          <w:szCs w:val="20"/>
        </w:rPr>
        <w:t xml:space="preserve">. </w:t>
      </w:r>
    </w:p>
    <w:p w14:paraId="33C7D569" w14:textId="77777777" w:rsidR="00F548FF" w:rsidRDefault="00F548FF"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receive and evaluate benefit plan proposals according to the policies and procedures of the JBCM and LCM by considering of parameters set, prepare, and present a comprehensive report of the proposals received in response to the RFP.</w:t>
      </w:r>
    </w:p>
    <w:p w14:paraId="1452E514" w14:textId="3A5B1AC4" w:rsidR="00F548FF" w:rsidRDefault="00F548FF"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conduct marketing and negotiate with benefit providers related to the services to be provided, including</w:t>
      </w:r>
      <w:r w:rsidR="001E7124">
        <w:rPr>
          <w:rFonts w:ascii="Times New Roman" w:hAnsi="Times New Roman" w:cs="Times New Roman"/>
          <w:sz w:val="20"/>
          <w:szCs w:val="20"/>
        </w:rPr>
        <w:t xml:space="preserve"> but not </w:t>
      </w:r>
      <w:proofErr w:type="spellStart"/>
      <w:r w:rsidR="001E7124">
        <w:rPr>
          <w:rFonts w:ascii="Times New Roman" w:hAnsi="Times New Roman" w:cs="Times New Roman"/>
          <w:sz w:val="20"/>
          <w:szCs w:val="20"/>
        </w:rPr>
        <w:t>l</w:t>
      </w:r>
      <w:r w:rsidR="00A233EE">
        <w:rPr>
          <w:rFonts w:ascii="Times New Roman" w:hAnsi="Times New Roman" w:cs="Times New Roman"/>
          <w:sz w:val="20"/>
          <w:szCs w:val="20"/>
        </w:rPr>
        <w:t>high</w:t>
      </w:r>
      <w:proofErr w:type="spellEnd"/>
      <w:r w:rsidR="00A233EE">
        <w:rPr>
          <w:rFonts w:ascii="Times New Roman" w:hAnsi="Times New Roman" w:cs="Times New Roman"/>
          <w:sz w:val="20"/>
          <w:szCs w:val="20"/>
        </w:rPr>
        <w:t>-cost</w:t>
      </w:r>
      <w:r>
        <w:rPr>
          <w:rFonts w:ascii="Times New Roman" w:hAnsi="Times New Roman" w:cs="Times New Roman"/>
          <w:sz w:val="20"/>
          <w:szCs w:val="20"/>
        </w:rPr>
        <w:t xml:space="preserve">, premium rates, benefit levels, performances standards and guarantees, agreement to terms and conditions, quality assurance standards, utilization and performance reports, statistical and/or financial reports, and plan-specific data such as medical </w:t>
      </w:r>
      <w:r>
        <w:rPr>
          <w:rFonts w:ascii="Times New Roman" w:hAnsi="Times New Roman" w:cs="Times New Roman"/>
          <w:sz w:val="20"/>
          <w:szCs w:val="20"/>
        </w:rPr>
        <w:lastRenderedPageBreak/>
        <w:t xml:space="preserve">conditions, prescription drugs, </w:t>
      </w:r>
      <w:proofErr w:type="gramStart"/>
      <w:r>
        <w:rPr>
          <w:rFonts w:ascii="Times New Roman" w:hAnsi="Times New Roman" w:cs="Times New Roman"/>
          <w:sz w:val="20"/>
          <w:szCs w:val="20"/>
        </w:rPr>
        <w:t>high cost</w:t>
      </w:r>
      <w:proofErr w:type="gramEnd"/>
      <w:r>
        <w:rPr>
          <w:rFonts w:ascii="Times New Roman" w:hAnsi="Times New Roman" w:cs="Times New Roman"/>
          <w:sz w:val="20"/>
          <w:szCs w:val="20"/>
        </w:rPr>
        <w:t xml:space="preserve"> procedures, in-patient data, and other related matters as may apply. </w:t>
      </w:r>
    </w:p>
    <w:p w14:paraId="4B2AF221" w14:textId="46672604" w:rsidR="00F548FF" w:rsidRDefault="00F548FF"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provide recommendations on proposals and present them to the Court’s Employee Benefit Advisory Committee (EBAC), work with EBAC to determine which proposal(s) to recommend to the</w:t>
      </w:r>
      <w:r w:rsidR="00494107">
        <w:rPr>
          <w:rFonts w:ascii="Times New Roman" w:hAnsi="Times New Roman" w:cs="Times New Roman"/>
          <w:sz w:val="20"/>
          <w:szCs w:val="20"/>
        </w:rPr>
        <w:t xml:space="preserve"> </w:t>
      </w:r>
      <w:proofErr w:type="gramStart"/>
      <w:r w:rsidR="00494107">
        <w:rPr>
          <w:rFonts w:ascii="Times New Roman" w:hAnsi="Times New Roman" w:cs="Times New Roman"/>
          <w:sz w:val="20"/>
          <w:szCs w:val="20"/>
        </w:rPr>
        <w:t>Chief  Human</w:t>
      </w:r>
      <w:proofErr w:type="gramEnd"/>
      <w:r w:rsidR="00494107">
        <w:rPr>
          <w:rFonts w:ascii="Times New Roman" w:hAnsi="Times New Roman" w:cs="Times New Roman"/>
          <w:sz w:val="20"/>
          <w:szCs w:val="20"/>
        </w:rPr>
        <w:t xml:space="preserve"> Resources</w:t>
      </w:r>
      <w:r w:rsidR="00A233EE">
        <w:rPr>
          <w:rFonts w:ascii="Times New Roman" w:hAnsi="Times New Roman" w:cs="Times New Roman"/>
          <w:sz w:val="20"/>
          <w:szCs w:val="20"/>
        </w:rPr>
        <w:t xml:space="preserve"> </w:t>
      </w:r>
      <w:proofErr w:type="gramStart"/>
      <w:r w:rsidR="00A233EE">
        <w:rPr>
          <w:rFonts w:ascii="Times New Roman" w:hAnsi="Times New Roman" w:cs="Times New Roman"/>
          <w:sz w:val="20"/>
          <w:szCs w:val="20"/>
        </w:rPr>
        <w:t xml:space="preserve">Officer </w:t>
      </w:r>
      <w:r w:rsidR="00494107">
        <w:rPr>
          <w:rFonts w:ascii="Times New Roman" w:hAnsi="Times New Roman" w:cs="Times New Roman"/>
          <w:sz w:val="20"/>
          <w:szCs w:val="20"/>
        </w:rPr>
        <w:t xml:space="preserve"> and</w:t>
      </w:r>
      <w:proofErr w:type="gramEnd"/>
      <w:r>
        <w:rPr>
          <w:rFonts w:ascii="Times New Roman" w:hAnsi="Times New Roman" w:cs="Times New Roman"/>
          <w:sz w:val="20"/>
          <w:szCs w:val="20"/>
        </w:rPr>
        <w:t xml:space="preserve"> the Court’s Executive Team, for acceptance, and act as a technical advisor on EBAC.</w:t>
      </w:r>
    </w:p>
    <w:p w14:paraId="4997A8DD" w14:textId="7E2A4B41" w:rsidR="00F548FF" w:rsidRDefault="00F548FF" w:rsidP="0030516E">
      <w:pPr>
        <w:pStyle w:val="ListParagraph"/>
        <w:numPr>
          <w:ilvl w:val="1"/>
          <w:numId w:val="16"/>
        </w:numPr>
        <w:spacing w:after="0"/>
        <w:rPr>
          <w:rFonts w:ascii="Times New Roman" w:hAnsi="Times New Roman" w:cs="Times New Roman"/>
          <w:sz w:val="20"/>
          <w:szCs w:val="20"/>
        </w:rPr>
      </w:pPr>
      <w:proofErr w:type="gramStart"/>
      <w:r>
        <w:rPr>
          <w:rFonts w:ascii="Times New Roman" w:hAnsi="Times New Roman" w:cs="Times New Roman"/>
          <w:sz w:val="20"/>
          <w:szCs w:val="20"/>
        </w:rPr>
        <w:t>Contractor</w:t>
      </w:r>
      <w:proofErr w:type="gramEnd"/>
      <w:r>
        <w:rPr>
          <w:rFonts w:ascii="Times New Roman" w:hAnsi="Times New Roman" w:cs="Times New Roman"/>
          <w:sz w:val="20"/>
          <w:szCs w:val="20"/>
        </w:rPr>
        <w:t xml:space="preserve"> will develop, negotiate, and execute contracts, subject to Court prior approval, with underwriters, insurance providers, Third Party Administrators (TPAs</w:t>
      </w:r>
      <w:r w:rsidR="00A233EE">
        <w:rPr>
          <w:rFonts w:ascii="Times New Roman" w:hAnsi="Times New Roman" w:cs="Times New Roman"/>
          <w:sz w:val="20"/>
          <w:szCs w:val="20"/>
        </w:rPr>
        <w:t>),</w:t>
      </w:r>
      <w:r>
        <w:rPr>
          <w:rFonts w:ascii="Times New Roman" w:hAnsi="Times New Roman" w:cs="Times New Roman"/>
          <w:sz w:val="20"/>
          <w:szCs w:val="20"/>
        </w:rPr>
        <w:t xml:space="preserve"> and all other benefit providers on behalf of Court and in accordance with </w:t>
      </w:r>
      <w:proofErr w:type="gramStart"/>
      <w:r>
        <w:rPr>
          <w:rFonts w:ascii="Times New Roman" w:hAnsi="Times New Roman" w:cs="Times New Roman"/>
          <w:sz w:val="20"/>
          <w:szCs w:val="20"/>
        </w:rPr>
        <w:t>its</w:t>
      </w:r>
      <w:proofErr w:type="gramEnd"/>
      <w:r>
        <w:rPr>
          <w:rFonts w:ascii="Times New Roman" w:hAnsi="Times New Roman" w:cs="Times New Roman"/>
          <w:sz w:val="20"/>
          <w:szCs w:val="20"/>
        </w:rPr>
        <w:t xml:space="preserve"> timelines and requirements. </w:t>
      </w:r>
    </w:p>
    <w:p w14:paraId="5A360E0F" w14:textId="3795FAB8" w:rsidR="00F548FF" w:rsidRDefault="00F548FF" w:rsidP="0030516E">
      <w:pPr>
        <w:pStyle w:val="ListParagraph"/>
        <w:numPr>
          <w:ilvl w:val="1"/>
          <w:numId w:val="16"/>
        </w:numPr>
        <w:spacing w:after="0"/>
        <w:rPr>
          <w:rFonts w:ascii="Times New Roman" w:hAnsi="Times New Roman" w:cs="Times New Roman"/>
          <w:sz w:val="20"/>
          <w:szCs w:val="20"/>
        </w:rPr>
      </w:pPr>
      <w:proofErr w:type="gramStart"/>
      <w:r w:rsidRPr="00AA7996">
        <w:rPr>
          <w:rFonts w:ascii="Times New Roman" w:hAnsi="Times New Roman" w:cs="Times New Roman"/>
          <w:sz w:val="20"/>
          <w:szCs w:val="20"/>
        </w:rPr>
        <w:t>Contractor</w:t>
      </w:r>
      <w:proofErr w:type="gramEnd"/>
      <w:r w:rsidRPr="00AA7996">
        <w:rPr>
          <w:rFonts w:ascii="Times New Roman" w:hAnsi="Times New Roman" w:cs="Times New Roman"/>
          <w:sz w:val="20"/>
          <w:szCs w:val="20"/>
        </w:rPr>
        <w:t xml:space="preserve"> will design, communicate, and implement a transition strategy and pla</w:t>
      </w:r>
      <w:r w:rsidR="00AA7996" w:rsidRPr="00AA7996">
        <w:rPr>
          <w:rFonts w:ascii="Times New Roman" w:hAnsi="Times New Roman" w:cs="Times New Roman"/>
          <w:sz w:val="20"/>
          <w:szCs w:val="20"/>
        </w:rPr>
        <w:t>n to migrate current insurance benefits</w:t>
      </w:r>
      <w:r w:rsidR="00AA7996">
        <w:rPr>
          <w:rFonts w:ascii="Times New Roman" w:hAnsi="Times New Roman" w:cs="Times New Roman"/>
          <w:sz w:val="20"/>
          <w:szCs w:val="20"/>
        </w:rPr>
        <w:t xml:space="preserve">, </w:t>
      </w:r>
      <w:r w:rsidR="00296CFF">
        <w:rPr>
          <w:rFonts w:ascii="Times New Roman" w:hAnsi="Times New Roman" w:cs="Times New Roman"/>
          <w:sz w:val="20"/>
          <w:szCs w:val="20"/>
        </w:rPr>
        <w:t>broker,</w:t>
      </w:r>
      <w:r w:rsidR="00AA7996">
        <w:rPr>
          <w:rFonts w:ascii="Times New Roman" w:hAnsi="Times New Roman" w:cs="Times New Roman"/>
          <w:sz w:val="20"/>
          <w:szCs w:val="20"/>
        </w:rPr>
        <w:t xml:space="preserve"> and consulting services</w:t>
      </w:r>
      <w:r w:rsidR="00494107">
        <w:rPr>
          <w:rFonts w:ascii="Times New Roman" w:hAnsi="Times New Roman" w:cs="Times New Roman"/>
          <w:sz w:val="20"/>
          <w:szCs w:val="20"/>
        </w:rPr>
        <w:t>,</w:t>
      </w:r>
      <w:r w:rsidR="00AA7996">
        <w:rPr>
          <w:rFonts w:ascii="Times New Roman" w:hAnsi="Times New Roman" w:cs="Times New Roman"/>
          <w:sz w:val="20"/>
          <w:szCs w:val="20"/>
        </w:rPr>
        <w:t xml:space="preserve"> if required by the Court. </w:t>
      </w:r>
    </w:p>
    <w:p w14:paraId="66C6453D" w14:textId="5B7CA4E7" w:rsidR="001F2D8A" w:rsidRDefault="001F2D8A"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design, </w:t>
      </w:r>
      <w:r w:rsidR="00296CFF">
        <w:rPr>
          <w:rFonts w:ascii="Times New Roman" w:hAnsi="Times New Roman" w:cs="Times New Roman"/>
          <w:sz w:val="20"/>
          <w:szCs w:val="20"/>
        </w:rPr>
        <w:t>communicate,</w:t>
      </w:r>
      <w:r>
        <w:rPr>
          <w:rFonts w:ascii="Times New Roman" w:hAnsi="Times New Roman" w:cs="Times New Roman"/>
          <w:sz w:val="20"/>
          <w:szCs w:val="20"/>
        </w:rPr>
        <w:t xml:space="preserve"> and implement an end of contract transition strategy and plan to hand over existing contracts to the new contractor in 202</w:t>
      </w:r>
      <w:r w:rsidR="00494107">
        <w:rPr>
          <w:rFonts w:ascii="Times New Roman" w:hAnsi="Times New Roman" w:cs="Times New Roman"/>
          <w:sz w:val="20"/>
          <w:szCs w:val="20"/>
        </w:rPr>
        <w:t>6</w:t>
      </w:r>
      <w:r>
        <w:rPr>
          <w:rFonts w:ascii="Times New Roman" w:hAnsi="Times New Roman" w:cs="Times New Roman"/>
          <w:sz w:val="20"/>
          <w:szCs w:val="20"/>
        </w:rPr>
        <w:t xml:space="preserve">, if applicable, and provide a final broker commission disclosure report and refund any excess commissions to the Court. </w:t>
      </w:r>
    </w:p>
    <w:p w14:paraId="5F5B35A9" w14:textId="57CF17E5" w:rsidR="001F2D8A" w:rsidRDefault="001F2D8A"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provide ongoing consulting services to assist Court with benefit plans and programs that satisfy all applicable contractual obligations under its collective bargaining agreements and that comply with all applicable federal and state laws, statues, </w:t>
      </w:r>
      <w:r w:rsidR="00296CFF">
        <w:rPr>
          <w:rFonts w:ascii="Times New Roman" w:hAnsi="Times New Roman" w:cs="Times New Roman"/>
          <w:sz w:val="20"/>
          <w:szCs w:val="20"/>
        </w:rPr>
        <w:t>regulations,</w:t>
      </w:r>
      <w:r>
        <w:rPr>
          <w:rFonts w:ascii="Times New Roman" w:hAnsi="Times New Roman" w:cs="Times New Roman"/>
          <w:sz w:val="20"/>
          <w:szCs w:val="20"/>
        </w:rPr>
        <w:t xml:space="preserve"> and rules. This shall include interpretations and application of all relevant federal and state laws, statutes, regulations, and rules as requested, within a mutually agreed timeframe. </w:t>
      </w:r>
    </w:p>
    <w:p w14:paraId="492681F1" w14:textId="77777777" w:rsidR="001F2D8A" w:rsidRDefault="001F2D8A"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explore and recommend cost savings and cost containment strategies to the Court.</w:t>
      </w:r>
    </w:p>
    <w:p w14:paraId="6553C374" w14:textId="77777777" w:rsidR="001F2D8A" w:rsidRDefault="001F2D8A"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review all provider benefit plans and agreements for compliance with applicable federal and state laws, statues, regulations, rules, including the JBCM, LCM, and the Court contract standard terms and conditions, and shall promptly advise the Court of any compliance issues. </w:t>
      </w:r>
    </w:p>
    <w:p w14:paraId="597E2F3A" w14:textId="3ED48E33" w:rsidR="001F2D8A" w:rsidRDefault="001F2D8A"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define and design performance standards and guarantees for the Court’s various benefit providers and shall evaluate, </w:t>
      </w:r>
      <w:r w:rsidR="00296CFF">
        <w:rPr>
          <w:rFonts w:ascii="Times New Roman" w:hAnsi="Times New Roman" w:cs="Times New Roman"/>
          <w:sz w:val="20"/>
          <w:szCs w:val="20"/>
        </w:rPr>
        <w:t>monitor,</w:t>
      </w:r>
      <w:r>
        <w:rPr>
          <w:rFonts w:ascii="Times New Roman" w:hAnsi="Times New Roman" w:cs="Times New Roman"/>
          <w:sz w:val="20"/>
          <w:szCs w:val="20"/>
        </w:rPr>
        <w:t xml:space="preserve"> and report on provider compliance with these standards and guarantees on a semi-annual basis (or more frequently if the situation warrants).</w:t>
      </w:r>
    </w:p>
    <w:p w14:paraId="58E6A819" w14:textId="77777777" w:rsidR="001F2D8A" w:rsidRDefault="001F2D8A"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proactively communicate to the Court new developments in the employee benefit field, including but not limited to changes and proposed changes in federal and state laws, statutes and regulations that may impact Court employee benefit plans and programs. </w:t>
      </w:r>
    </w:p>
    <w:p w14:paraId="23CBB3BB" w14:textId="77777777" w:rsidR="00A232B4" w:rsidRDefault="001F2D8A"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produce documents and materials associated with open enrollment activities, such as a comprehensive open enrollment guide and informational flyers. Contractor will assist the Court with </w:t>
      </w:r>
      <w:r w:rsidR="00A232B4">
        <w:rPr>
          <w:rFonts w:ascii="Times New Roman" w:hAnsi="Times New Roman" w:cs="Times New Roman"/>
          <w:sz w:val="20"/>
          <w:szCs w:val="20"/>
        </w:rPr>
        <w:t xml:space="preserve">the </w:t>
      </w:r>
      <w:r>
        <w:rPr>
          <w:rFonts w:ascii="Times New Roman" w:hAnsi="Times New Roman" w:cs="Times New Roman"/>
          <w:sz w:val="20"/>
          <w:szCs w:val="20"/>
        </w:rPr>
        <w:t xml:space="preserve">development </w:t>
      </w:r>
      <w:r w:rsidR="00A232B4">
        <w:rPr>
          <w:rFonts w:ascii="Times New Roman" w:hAnsi="Times New Roman" w:cs="Times New Roman"/>
          <w:sz w:val="20"/>
          <w:szCs w:val="20"/>
        </w:rPr>
        <w:t xml:space="preserve">of the </w:t>
      </w:r>
      <w:r>
        <w:rPr>
          <w:rFonts w:ascii="Times New Roman" w:hAnsi="Times New Roman" w:cs="Times New Roman"/>
          <w:sz w:val="20"/>
          <w:szCs w:val="20"/>
        </w:rPr>
        <w:t xml:space="preserve">annual employee benefit guide. </w:t>
      </w:r>
      <w:r w:rsidR="00A232B4">
        <w:rPr>
          <w:rFonts w:ascii="Times New Roman" w:hAnsi="Times New Roman" w:cs="Times New Roman"/>
          <w:sz w:val="20"/>
          <w:szCs w:val="20"/>
        </w:rPr>
        <w:t>The Contractor shall prepare and provide an electronic (PDF) employee benefit guide paid for by the Contractor, subject to Court’s final review and approval. Contractor shall assist the Court with any other related tasks associated with open enrollment activities including but not limited to open enrollment fairs.</w:t>
      </w:r>
    </w:p>
    <w:p w14:paraId="58BACEF2" w14:textId="77777777" w:rsidR="00A232B4" w:rsidRDefault="00A232B4"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ensure that the Court and its benefit plans and programs are in full compliance with the Patient Protection and Affordable Care Act (PPACA) and any related practices, requireme</w:t>
      </w:r>
      <w:r w:rsidR="001E7124">
        <w:rPr>
          <w:rFonts w:ascii="Times New Roman" w:hAnsi="Times New Roman" w:cs="Times New Roman"/>
          <w:sz w:val="20"/>
          <w:szCs w:val="20"/>
        </w:rPr>
        <w:t>nts, and regulations. Contracto</w:t>
      </w:r>
      <w:r>
        <w:rPr>
          <w:rFonts w:ascii="Times New Roman" w:hAnsi="Times New Roman" w:cs="Times New Roman"/>
          <w:sz w:val="20"/>
          <w:szCs w:val="20"/>
        </w:rPr>
        <w:t xml:space="preserve">r shall pro-actively provide the Court with regular updates on any changes and requirements arising from PPACA and related legislation. Contractor shall review and update as applicable Court plans on an annual basis or as required. </w:t>
      </w:r>
    </w:p>
    <w:p w14:paraId="11A1F4BB" w14:textId="7B60047A" w:rsidR="001F2D8A" w:rsidRDefault="00A232B4"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be available to Human Resource staff, as needed, to provide day-to-day consultation on matters such as, but not limited to, plan interpretation and problem resolution</w:t>
      </w:r>
      <w:r w:rsidR="00296CFF">
        <w:rPr>
          <w:rFonts w:ascii="Times New Roman" w:hAnsi="Times New Roman" w:cs="Times New Roman"/>
          <w:sz w:val="20"/>
          <w:szCs w:val="20"/>
        </w:rPr>
        <w:t xml:space="preserve">. </w:t>
      </w:r>
    </w:p>
    <w:p w14:paraId="0D36631B" w14:textId="77777777" w:rsidR="00A232B4" w:rsidRDefault="00A232B4"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Each calendar year, Contractor will review the Court’s benefit coverage from the standpoint of loss ratio, analysis of claims, expenses, and other factors as necessary; and report the results of such annual reviews to EBAC.</w:t>
      </w:r>
    </w:p>
    <w:p w14:paraId="7A84CCFC" w14:textId="59204002" w:rsidR="00AA5486"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provide comparison reports of other </w:t>
      </w:r>
      <w:r w:rsidR="00A233EE">
        <w:rPr>
          <w:rFonts w:ascii="Times New Roman" w:hAnsi="Times New Roman" w:cs="Times New Roman"/>
          <w:sz w:val="20"/>
          <w:szCs w:val="20"/>
        </w:rPr>
        <w:t>employers’</w:t>
      </w:r>
      <w:r>
        <w:rPr>
          <w:rFonts w:ascii="Times New Roman" w:hAnsi="Times New Roman" w:cs="Times New Roman"/>
          <w:sz w:val="20"/>
          <w:szCs w:val="20"/>
        </w:rPr>
        <w:t xml:space="preserve"> benefit plans and programs to determine competitiveness, as requested by </w:t>
      </w:r>
      <w:proofErr w:type="gramStart"/>
      <w:r>
        <w:rPr>
          <w:rFonts w:ascii="Times New Roman" w:hAnsi="Times New Roman" w:cs="Times New Roman"/>
          <w:sz w:val="20"/>
          <w:szCs w:val="20"/>
        </w:rPr>
        <w:t xml:space="preserve">the </w:t>
      </w:r>
      <w:r w:rsidR="00A233EE">
        <w:rPr>
          <w:rFonts w:ascii="Times New Roman" w:hAnsi="Times New Roman" w:cs="Times New Roman"/>
          <w:sz w:val="20"/>
          <w:szCs w:val="20"/>
        </w:rPr>
        <w:t xml:space="preserve"> Chief</w:t>
      </w:r>
      <w:proofErr w:type="gramEnd"/>
      <w:r w:rsidR="00A233EE">
        <w:rPr>
          <w:rFonts w:ascii="Times New Roman" w:hAnsi="Times New Roman" w:cs="Times New Roman"/>
          <w:sz w:val="20"/>
          <w:szCs w:val="20"/>
        </w:rPr>
        <w:t xml:space="preserve"> Human Resources Officer </w:t>
      </w:r>
      <w:r>
        <w:rPr>
          <w:rFonts w:ascii="Times New Roman" w:hAnsi="Times New Roman" w:cs="Times New Roman"/>
          <w:sz w:val="20"/>
          <w:szCs w:val="20"/>
        </w:rPr>
        <w:t xml:space="preserve">or the Executive Office. </w:t>
      </w:r>
    </w:p>
    <w:p w14:paraId="53B8D901" w14:textId="77777777" w:rsidR="00B06A91"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Contractor will review and prepare an analysis of all reports submitted by benefit providers and TPAs and make recommendations to the Court regarding the content of those reports. Contractor </w:t>
      </w:r>
      <w:proofErr w:type="gramStart"/>
      <w:r>
        <w:rPr>
          <w:rFonts w:ascii="Times New Roman" w:hAnsi="Times New Roman" w:cs="Times New Roman"/>
          <w:sz w:val="20"/>
          <w:szCs w:val="20"/>
        </w:rPr>
        <w:t>shall</w:t>
      </w:r>
      <w:proofErr w:type="gramEnd"/>
      <w:r>
        <w:rPr>
          <w:rFonts w:ascii="Times New Roman" w:hAnsi="Times New Roman" w:cs="Times New Roman"/>
          <w:sz w:val="20"/>
          <w:szCs w:val="20"/>
        </w:rPr>
        <w:t xml:space="preserve"> also review and evaluate periodic reports of claims experience and other statistical reports submitted by benefit providers and report findings to the Court, upon request by the Court. </w:t>
      </w:r>
    </w:p>
    <w:p w14:paraId="7569E622" w14:textId="77777777" w:rsidR="00B06A91"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develop and/or assist with evaluating employee needs and satisfaction surveys.</w:t>
      </w:r>
    </w:p>
    <w:p w14:paraId="7AAEA055" w14:textId="77777777" w:rsidR="00B06A91"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provide various benefit-related employee communications materials on an ongoing basis for the C</w:t>
      </w:r>
      <w:r w:rsidR="001E7124">
        <w:rPr>
          <w:rFonts w:ascii="Times New Roman" w:hAnsi="Times New Roman" w:cs="Times New Roman"/>
          <w:sz w:val="20"/>
          <w:szCs w:val="20"/>
        </w:rPr>
        <w:t>o</w:t>
      </w:r>
      <w:r>
        <w:rPr>
          <w:rFonts w:ascii="Times New Roman" w:hAnsi="Times New Roman" w:cs="Times New Roman"/>
          <w:sz w:val="20"/>
          <w:szCs w:val="20"/>
        </w:rPr>
        <w:t xml:space="preserve">urt to review, approve, and distribute. </w:t>
      </w:r>
    </w:p>
    <w:p w14:paraId="1849D1FF" w14:textId="45446631" w:rsidR="00B06A91"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coordinate COBRA, Early Retiree Medical, and Medicare billing, including the management of all billing directly with participants</w:t>
      </w:r>
      <w:proofErr w:type="gramStart"/>
      <w:r>
        <w:rPr>
          <w:rFonts w:ascii="Times New Roman" w:hAnsi="Times New Roman" w:cs="Times New Roman"/>
          <w:sz w:val="20"/>
          <w:szCs w:val="20"/>
        </w:rPr>
        <w:t>,</w:t>
      </w:r>
      <w:r w:rsidR="00A233EE" w:rsidDel="00A233EE">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and provide quarterly updates on billings, and any other financial records, for reconciliation purposes as requested by the Court and/or required for auditing purposes. </w:t>
      </w:r>
    </w:p>
    <w:p w14:paraId="0B044B6B" w14:textId="77777777" w:rsidR="00B06A91"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If requested, Contractor will provide a minimum of two (2) annual on-site training programs regarding legislation updates and best practice seminars for Human Resources and associated staff. </w:t>
      </w:r>
    </w:p>
    <w:p w14:paraId="3ECE00E4" w14:textId="77777777" w:rsidR="00B06A91"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respond to all Court telephone or email inquiries within one (1) business day.</w:t>
      </w:r>
    </w:p>
    <w:p w14:paraId="00050D70" w14:textId="77777777" w:rsidR="00B06A91"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provide all supplies, equipment, and other resources necessary to fulfill contract requirements at its own expense. </w:t>
      </w:r>
    </w:p>
    <w:p w14:paraId="5CE136A9" w14:textId="77777777" w:rsidR="0030516E" w:rsidRDefault="00B06A91"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maintain complete and accurate records with respect to all matters and services provided to the C</w:t>
      </w:r>
      <w:r w:rsidR="0030516E">
        <w:rPr>
          <w:rFonts w:ascii="Times New Roman" w:hAnsi="Times New Roman" w:cs="Times New Roman"/>
          <w:sz w:val="20"/>
          <w:szCs w:val="20"/>
        </w:rPr>
        <w:t>ourt, its provider</w:t>
      </w:r>
      <w:r>
        <w:rPr>
          <w:rFonts w:ascii="Times New Roman" w:hAnsi="Times New Roman" w:cs="Times New Roman"/>
          <w:sz w:val="20"/>
          <w:szCs w:val="20"/>
        </w:rPr>
        <w:t xml:space="preserve">(s) and related benefit plans and programs. At the request of the Court, the contractor shall </w:t>
      </w:r>
      <w:r w:rsidR="0030516E">
        <w:rPr>
          <w:rFonts w:ascii="Times New Roman" w:hAnsi="Times New Roman" w:cs="Times New Roman"/>
          <w:sz w:val="20"/>
          <w:szCs w:val="20"/>
        </w:rPr>
        <w:t>provide</w:t>
      </w:r>
      <w:r>
        <w:rPr>
          <w:rFonts w:ascii="Times New Roman" w:hAnsi="Times New Roman" w:cs="Times New Roman"/>
          <w:sz w:val="20"/>
          <w:szCs w:val="20"/>
        </w:rPr>
        <w:t xml:space="preserve"> all spreadsheets and calculations upon completion of any project performed on behalf of the C</w:t>
      </w:r>
      <w:r w:rsidR="0030516E">
        <w:rPr>
          <w:rFonts w:ascii="Times New Roman" w:hAnsi="Times New Roman" w:cs="Times New Roman"/>
          <w:sz w:val="20"/>
          <w:szCs w:val="20"/>
        </w:rPr>
        <w:t>ourt, its provider</w:t>
      </w:r>
      <w:r>
        <w:rPr>
          <w:rFonts w:ascii="Times New Roman" w:hAnsi="Times New Roman" w:cs="Times New Roman"/>
          <w:sz w:val="20"/>
          <w:szCs w:val="20"/>
        </w:rPr>
        <w:t>(s) and benefit plans and programs.</w:t>
      </w:r>
    </w:p>
    <w:p w14:paraId="46FADB58" w14:textId="6C111044" w:rsidR="00B06A91" w:rsidRDefault="0030516E"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provide the Court’s </w:t>
      </w:r>
      <w:r w:rsidR="002F6368">
        <w:rPr>
          <w:rFonts w:ascii="Times New Roman" w:hAnsi="Times New Roman" w:cs="Times New Roman"/>
          <w:sz w:val="20"/>
          <w:szCs w:val="20"/>
        </w:rPr>
        <w:t xml:space="preserve">Human Resources Manager-Benefits </w:t>
      </w:r>
      <w:r>
        <w:rPr>
          <w:rFonts w:ascii="Times New Roman" w:hAnsi="Times New Roman" w:cs="Times New Roman"/>
          <w:sz w:val="20"/>
          <w:szCs w:val="20"/>
        </w:rPr>
        <w:t>and Contracts and Procurement Department with electronic (PDF, Word, or Excel) copies of its annual broker commission disclosure report by March 31</w:t>
      </w:r>
      <w:r w:rsidRPr="0030516E">
        <w:rPr>
          <w:rFonts w:ascii="Times New Roman" w:hAnsi="Times New Roman" w:cs="Times New Roman"/>
          <w:sz w:val="20"/>
          <w:szCs w:val="20"/>
          <w:vertAlign w:val="superscript"/>
        </w:rPr>
        <w:t>st</w:t>
      </w:r>
      <w:r>
        <w:rPr>
          <w:rFonts w:ascii="Times New Roman" w:hAnsi="Times New Roman" w:cs="Times New Roman"/>
          <w:sz w:val="20"/>
          <w:szCs w:val="20"/>
        </w:rPr>
        <w:t xml:space="preserve"> of each benefit plan year that discloses the prior benefit plan year’s commissions due and /or received by Contractor. Report shall be itemized by total commissions due and/or received per month from each TPA and all their benefit providers. Contractor shall reimburse the Court for any commission overage by April 30</w:t>
      </w:r>
      <w:r w:rsidRPr="0030516E">
        <w:rPr>
          <w:rFonts w:ascii="Times New Roman" w:hAnsi="Times New Roman" w:cs="Times New Roman"/>
          <w:sz w:val="20"/>
          <w:szCs w:val="20"/>
          <w:vertAlign w:val="superscript"/>
        </w:rPr>
        <w:t>th</w:t>
      </w:r>
      <w:r>
        <w:rPr>
          <w:rFonts w:ascii="Times New Roman" w:hAnsi="Times New Roman" w:cs="Times New Roman"/>
          <w:sz w:val="20"/>
          <w:szCs w:val="20"/>
        </w:rPr>
        <w:t xml:space="preserve"> of all benefit plan years that commissions are due by mailing payment directly to the Court. Contractor shall advise each TPA and all other benefit providers to mail a California Broker Compensation Disclosure Report directly to the Court. </w:t>
      </w:r>
    </w:p>
    <w:p w14:paraId="20BDA087" w14:textId="43EC2D4F" w:rsidR="0030516E" w:rsidRDefault="0030516E" w:rsidP="0030516E">
      <w:pPr>
        <w:pStyle w:val="ListParagraph"/>
        <w:numPr>
          <w:ilvl w:val="1"/>
          <w:numId w:val="16"/>
        </w:numPr>
        <w:spacing w:after="0"/>
        <w:rPr>
          <w:rFonts w:ascii="Times New Roman" w:hAnsi="Times New Roman" w:cs="Times New Roman"/>
          <w:sz w:val="20"/>
          <w:szCs w:val="20"/>
        </w:rPr>
      </w:pPr>
      <w:r w:rsidRPr="00AA7996">
        <w:rPr>
          <w:rFonts w:ascii="Times New Roman" w:hAnsi="Times New Roman" w:cs="Times New Roman"/>
          <w:sz w:val="20"/>
          <w:szCs w:val="20"/>
        </w:rPr>
        <w:t>Contrac</w:t>
      </w:r>
      <w:r w:rsidR="00AA7996" w:rsidRPr="00AA7996">
        <w:rPr>
          <w:rFonts w:ascii="Times New Roman" w:hAnsi="Times New Roman" w:cs="Times New Roman"/>
          <w:sz w:val="20"/>
          <w:szCs w:val="20"/>
        </w:rPr>
        <w:t xml:space="preserve">tor will provide any other information </w:t>
      </w:r>
      <w:r w:rsidRPr="00AA7996">
        <w:rPr>
          <w:rFonts w:ascii="Times New Roman" w:hAnsi="Times New Roman" w:cs="Times New Roman"/>
          <w:sz w:val="20"/>
          <w:szCs w:val="20"/>
        </w:rPr>
        <w:t xml:space="preserve">directly related to employee health insurance/benefit broker, and consulting and actuarial services as requested by </w:t>
      </w:r>
      <w:r w:rsidR="00A233EE">
        <w:rPr>
          <w:rFonts w:ascii="Times New Roman" w:hAnsi="Times New Roman" w:cs="Times New Roman"/>
          <w:sz w:val="20"/>
          <w:szCs w:val="20"/>
        </w:rPr>
        <w:t xml:space="preserve">Chief Human Resources Officer </w:t>
      </w:r>
      <w:r>
        <w:rPr>
          <w:rFonts w:ascii="Times New Roman" w:hAnsi="Times New Roman" w:cs="Times New Roman"/>
          <w:sz w:val="20"/>
          <w:szCs w:val="20"/>
        </w:rPr>
        <w:t xml:space="preserve">or the Executive Office. </w:t>
      </w:r>
    </w:p>
    <w:p w14:paraId="25C4218D" w14:textId="77777777" w:rsidR="0030516E" w:rsidRDefault="0030516E" w:rsidP="0030516E">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Contractor will provide the Court with a comprehensive Project Plan &amp; Schedule for approval, detailing Contractor tasks and activities needed to ensure that employee benefit plans and programs are in place and ready to commence on January 1</w:t>
      </w:r>
      <w:r w:rsidRPr="0030516E">
        <w:rPr>
          <w:rFonts w:ascii="Times New Roman" w:hAnsi="Times New Roman" w:cs="Times New Roman"/>
          <w:sz w:val="20"/>
          <w:szCs w:val="20"/>
          <w:vertAlign w:val="superscript"/>
        </w:rPr>
        <w:t>st</w:t>
      </w:r>
      <w:r>
        <w:rPr>
          <w:rFonts w:ascii="Times New Roman" w:hAnsi="Times New Roman" w:cs="Times New Roman"/>
          <w:sz w:val="20"/>
          <w:szCs w:val="20"/>
        </w:rPr>
        <w:t xml:space="preserve"> of each year, taking into account open enrollment requirements and deadlines set by the Court and/or its payroll/Human Resources provider(s). Project Plan will be subject to evaluation and must include key deliverables such as:</w:t>
      </w:r>
    </w:p>
    <w:p w14:paraId="7047F523" w14:textId="77777777" w:rsidR="0030516E" w:rsidRDefault="0030516E" w:rsidP="0030516E">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Kick off meeting with the Court.</w:t>
      </w:r>
    </w:p>
    <w:p w14:paraId="13943488" w14:textId="77777777" w:rsidR="0030516E" w:rsidRDefault="0030516E" w:rsidP="0030516E">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Prepare, edit, submit Request for Proposals on behalf of the Court.</w:t>
      </w:r>
    </w:p>
    <w:p w14:paraId="37AFFFC7" w14:textId="77777777" w:rsidR="0030516E" w:rsidRDefault="0030516E" w:rsidP="0030516E">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Evaluate benefit plan proposals resulting from RFP.</w:t>
      </w:r>
    </w:p>
    <w:p w14:paraId="75F43BDF" w14:textId="77777777" w:rsidR="0030516E" w:rsidRDefault="0030516E" w:rsidP="0030516E">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 xml:space="preserve">Submit recommendations of proposals deemed to be acceptable for further analysis and review. The Court will select successful proposers. </w:t>
      </w:r>
    </w:p>
    <w:p w14:paraId="35A9DE43" w14:textId="77777777" w:rsidR="00BF259F" w:rsidRDefault="00BF259F" w:rsidP="0030516E">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 xml:space="preserve">Negotiate with benefit proposers on matters such as, but not limited to, premium rates, benefit levels, performance standards and guarantees, agreement terms and conditions, etc. </w:t>
      </w:r>
    </w:p>
    <w:p w14:paraId="50C07ABE" w14:textId="5692F695" w:rsidR="00BF259F" w:rsidRDefault="00BF259F" w:rsidP="0030516E">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Develop and implement contractual agreements, on behalf of the Court, with selected benefit providers, Third Party Administrator(s) (TPAs</w:t>
      </w:r>
      <w:r w:rsidR="00296CFF">
        <w:rPr>
          <w:rFonts w:ascii="Times New Roman" w:hAnsi="Times New Roman" w:cs="Times New Roman"/>
          <w:sz w:val="20"/>
          <w:szCs w:val="20"/>
        </w:rPr>
        <w:t>),</w:t>
      </w:r>
      <w:r>
        <w:rPr>
          <w:rFonts w:ascii="Times New Roman" w:hAnsi="Times New Roman" w:cs="Times New Roman"/>
          <w:sz w:val="20"/>
          <w:szCs w:val="20"/>
        </w:rPr>
        <w:t xml:space="preserve"> and other providers with prior approval by the Court’s Contracts and Procurement Department. </w:t>
      </w:r>
    </w:p>
    <w:p w14:paraId="0331B307" w14:textId="78D2F7FE" w:rsidR="00BF259F" w:rsidRDefault="00BF259F" w:rsidP="00BF259F">
      <w:pPr>
        <w:pStyle w:val="ListParagraph"/>
        <w:numPr>
          <w:ilvl w:val="1"/>
          <w:numId w:val="16"/>
        </w:numPr>
        <w:spacing w:after="0"/>
        <w:rPr>
          <w:rFonts w:ascii="Times New Roman" w:hAnsi="Times New Roman" w:cs="Times New Roman"/>
          <w:sz w:val="20"/>
          <w:szCs w:val="20"/>
        </w:rPr>
      </w:pPr>
      <w:proofErr w:type="gramStart"/>
      <w:r>
        <w:rPr>
          <w:rFonts w:ascii="Times New Roman" w:hAnsi="Times New Roman" w:cs="Times New Roman"/>
          <w:sz w:val="20"/>
          <w:szCs w:val="20"/>
        </w:rPr>
        <w:lastRenderedPageBreak/>
        <w:t>Contractor</w:t>
      </w:r>
      <w:proofErr w:type="gramEnd"/>
      <w:r>
        <w:rPr>
          <w:rFonts w:ascii="Times New Roman" w:hAnsi="Times New Roman" w:cs="Times New Roman"/>
          <w:sz w:val="20"/>
          <w:szCs w:val="20"/>
        </w:rPr>
        <w:t xml:space="preserve"> will conduct </w:t>
      </w:r>
      <w:r w:rsidR="00A233EE">
        <w:rPr>
          <w:rFonts w:ascii="Times New Roman" w:hAnsi="Times New Roman" w:cs="Times New Roman"/>
          <w:sz w:val="20"/>
          <w:szCs w:val="20"/>
        </w:rPr>
        <w:t>research</w:t>
      </w:r>
      <w:r>
        <w:rPr>
          <w:rFonts w:ascii="Times New Roman" w:hAnsi="Times New Roman" w:cs="Times New Roman"/>
          <w:sz w:val="20"/>
          <w:szCs w:val="20"/>
        </w:rPr>
        <w:t xml:space="preserve">, plan, design, implement, contract, manage, schedule, coordinate, host, communicate and promote (if necessary) with TPAs, a comprehensive wellness program (Wellness Program). The wellness program shall be approved by </w:t>
      </w:r>
      <w:proofErr w:type="gramStart"/>
      <w:r>
        <w:rPr>
          <w:rFonts w:ascii="Times New Roman" w:hAnsi="Times New Roman" w:cs="Times New Roman"/>
          <w:sz w:val="20"/>
          <w:szCs w:val="20"/>
        </w:rPr>
        <w:t xml:space="preserve">the </w:t>
      </w:r>
      <w:r w:rsidR="00A233EE">
        <w:rPr>
          <w:rFonts w:ascii="Times New Roman" w:hAnsi="Times New Roman" w:cs="Times New Roman"/>
          <w:sz w:val="20"/>
          <w:szCs w:val="20"/>
        </w:rPr>
        <w:t xml:space="preserve"> Chief</w:t>
      </w:r>
      <w:proofErr w:type="gramEnd"/>
      <w:r w:rsidR="00A233EE">
        <w:rPr>
          <w:rFonts w:ascii="Times New Roman" w:hAnsi="Times New Roman" w:cs="Times New Roman"/>
          <w:sz w:val="20"/>
          <w:szCs w:val="20"/>
        </w:rPr>
        <w:t xml:space="preserve"> Human Resources Officer </w:t>
      </w:r>
      <w:r>
        <w:rPr>
          <w:rFonts w:ascii="Times New Roman" w:hAnsi="Times New Roman" w:cs="Times New Roman"/>
          <w:sz w:val="20"/>
          <w:szCs w:val="20"/>
        </w:rPr>
        <w:t xml:space="preserve">in conjunction with the </w:t>
      </w:r>
      <w:r w:rsidR="002F6368">
        <w:rPr>
          <w:rFonts w:ascii="Times New Roman" w:hAnsi="Times New Roman" w:cs="Times New Roman"/>
          <w:sz w:val="20"/>
          <w:szCs w:val="20"/>
        </w:rPr>
        <w:t>Human Resources Manager-Benefits</w:t>
      </w:r>
      <w:r>
        <w:rPr>
          <w:rFonts w:ascii="Times New Roman" w:hAnsi="Times New Roman" w:cs="Times New Roman"/>
          <w:sz w:val="20"/>
          <w:szCs w:val="20"/>
        </w:rPr>
        <w:t xml:space="preserve"> and may consist of but not be limited to the following:</w:t>
      </w:r>
    </w:p>
    <w:p w14:paraId="24ADCB84" w14:textId="77777777" w:rsidR="00BF259F" w:rsidRDefault="00BF259F" w:rsidP="00BF259F">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 xml:space="preserve">Educational materials in various formats </w:t>
      </w:r>
      <w:proofErr w:type="gramStart"/>
      <w:r>
        <w:rPr>
          <w:rFonts w:ascii="Times New Roman" w:hAnsi="Times New Roman" w:cs="Times New Roman"/>
          <w:sz w:val="20"/>
          <w:szCs w:val="20"/>
        </w:rPr>
        <w:t>including</w:t>
      </w:r>
      <w:proofErr w:type="gramEnd"/>
      <w:r>
        <w:rPr>
          <w:rFonts w:ascii="Times New Roman" w:hAnsi="Times New Roman" w:cs="Times New Roman"/>
          <w:sz w:val="20"/>
          <w:szCs w:val="20"/>
        </w:rPr>
        <w:t xml:space="preserve"> but </w:t>
      </w:r>
      <w:proofErr w:type="gramStart"/>
      <w:r>
        <w:rPr>
          <w:rFonts w:ascii="Times New Roman" w:hAnsi="Times New Roman" w:cs="Times New Roman"/>
          <w:sz w:val="20"/>
          <w:szCs w:val="20"/>
        </w:rPr>
        <w:t>not</w:t>
      </w:r>
      <w:proofErr w:type="gramEnd"/>
      <w:r>
        <w:rPr>
          <w:rFonts w:ascii="Times New Roman" w:hAnsi="Times New Roman" w:cs="Times New Roman"/>
          <w:sz w:val="20"/>
          <w:szCs w:val="20"/>
        </w:rPr>
        <w:t xml:space="preserve"> limited to email, posters, flyers, and newsletter articles</w:t>
      </w:r>
      <w:r w:rsidR="00285E47">
        <w:rPr>
          <w:rFonts w:ascii="Times New Roman" w:hAnsi="Times New Roman" w:cs="Times New Roman"/>
          <w:sz w:val="20"/>
          <w:szCs w:val="20"/>
        </w:rPr>
        <w:t>.</w:t>
      </w:r>
    </w:p>
    <w:p w14:paraId="3A6554BB" w14:textId="77777777" w:rsidR="00285E47" w:rsidRDefault="00285E47" w:rsidP="00BF259F">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Wellness Challenges and Programs.</w:t>
      </w:r>
    </w:p>
    <w:p w14:paraId="5C70693E" w14:textId="77777777" w:rsidR="00285E47" w:rsidRDefault="00285E47" w:rsidP="00BF259F">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Quarterly Onsite Wellness Workshops/Lunch and Learns (lunch time seminars).</w:t>
      </w:r>
    </w:p>
    <w:p w14:paraId="5F824B29" w14:textId="77777777" w:rsidR="00285E47" w:rsidRDefault="00285E47" w:rsidP="00BF259F">
      <w:pPr>
        <w:pStyle w:val="ListParagraph"/>
        <w:numPr>
          <w:ilvl w:val="2"/>
          <w:numId w:val="16"/>
        </w:numPr>
        <w:spacing w:after="0"/>
        <w:rPr>
          <w:rFonts w:ascii="Times New Roman" w:hAnsi="Times New Roman" w:cs="Times New Roman"/>
          <w:sz w:val="20"/>
          <w:szCs w:val="20"/>
        </w:rPr>
      </w:pPr>
      <w:r>
        <w:rPr>
          <w:rFonts w:ascii="Times New Roman" w:hAnsi="Times New Roman" w:cs="Times New Roman"/>
          <w:sz w:val="20"/>
          <w:szCs w:val="20"/>
        </w:rPr>
        <w:t>Annual Interest Surveys.</w:t>
      </w:r>
    </w:p>
    <w:p w14:paraId="248A435B" w14:textId="77777777" w:rsidR="00285E47" w:rsidRDefault="00285E47" w:rsidP="00285E47">
      <w:pPr>
        <w:pStyle w:val="ListParagraph"/>
        <w:numPr>
          <w:ilvl w:val="1"/>
          <w:numId w:val="16"/>
        </w:numPr>
        <w:spacing w:after="0"/>
        <w:rPr>
          <w:rFonts w:ascii="Times New Roman" w:hAnsi="Times New Roman" w:cs="Times New Roman"/>
          <w:sz w:val="20"/>
          <w:szCs w:val="20"/>
        </w:rPr>
      </w:pPr>
      <w:proofErr w:type="gramStart"/>
      <w:r>
        <w:rPr>
          <w:rFonts w:ascii="Times New Roman" w:hAnsi="Times New Roman" w:cs="Times New Roman"/>
          <w:sz w:val="20"/>
          <w:szCs w:val="20"/>
        </w:rPr>
        <w:t>Contractor</w:t>
      </w:r>
      <w:proofErr w:type="gramEnd"/>
      <w:r>
        <w:rPr>
          <w:rFonts w:ascii="Times New Roman" w:hAnsi="Times New Roman" w:cs="Times New Roman"/>
          <w:sz w:val="20"/>
          <w:szCs w:val="20"/>
        </w:rPr>
        <w:t xml:space="preserve"> will customize Wellness Program to court employee medical utilization data with the goal of reducing costs associated with health risk factors. </w:t>
      </w:r>
    </w:p>
    <w:p w14:paraId="6746BD44" w14:textId="77777777" w:rsidR="00285E47" w:rsidRDefault="00285E47" w:rsidP="00285E47">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Contractor will provide training and support for Court staff to administer the Wellness Program and with the collection and analysis of metrics to determine effectiveness of </w:t>
      </w:r>
      <w:r w:rsidR="00AA7996" w:rsidRPr="00AA7996">
        <w:rPr>
          <w:rFonts w:ascii="Times New Roman" w:hAnsi="Times New Roman" w:cs="Times New Roman"/>
          <w:sz w:val="20"/>
          <w:szCs w:val="20"/>
        </w:rPr>
        <w:t>Wellness P</w:t>
      </w:r>
      <w:r w:rsidRPr="00AA7996">
        <w:rPr>
          <w:rFonts w:ascii="Times New Roman" w:hAnsi="Times New Roman" w:cs="Times New Roman"/>
          <w:sz w:val="20"/>
          <w:szCs w:val="20"/>
        </w:rPr>
        <w:t>rogram.</w:t>
      </w:r>
      <w:r>
        <w:rPr>
          <w:rFonts w:ascii="Times New Roman" w:hAnsi="Times New Roman" w:cs="Times New Roman"/>
          <w:sz w:val="20"/>
          <w:szCs w:val="20"/>
        </w:rPr>
        <w:t xml:space="preserve"> </w:t>
      </w:r>
    </w:p>
    <w:p w14:paraId="1FD7D749" w14:textId="77777777" w:rsidR="00285E47" w:rsidRDefault="00285E47" w:rsidP="00285E47">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All TPA costs for the Wellness Program shall be mutually agreed upon with the Court and may be billed to the Court by the Contractor. The Court will not pay the TPA directly for wellness program services. </w:t>
      </w:r>
    </w:p>
    <w:p w14:paraId="366ACF7B" w14:textId="77777777" w:rsidR="00285E47" w:rsidRDefault="00285E47" w:rsidP="00285E47">
      <w:pPr>
        <w:pStyle w:val="ListParagraph"/>
        <w:spacing w:after="0"/>
        <w:ind w:left="1440"/>
        <w:rPr>
          <w:rFonts w:ascii="Times New Roman" w:hAnsi="Times New Roman" w:cs="Times New Roman"/>
          <w:sz w:val="20"/>
          <w:szCs w:val="20"/>
        </w:rPr>
      </w:pPr>
    </w:p>
    <w:p w14:paraId="7EC5AB57" w14:textId="77777777" w:rsidR="007E3AA4" w:rsidRDefault="007E3AA4" w:rsidP="007E3AA4">
      <w:pPr>
        <w:pStyle w:val="ListParagraph"/>
        <w:spacing w:after="0"/>
        <w:rPr>
          <w:rFonts w:ascii="Times New Roman" w:hAnsi="Times New Roman" w:cs="Times New Roman"/>
          <w:b/>
          <w:sz w:val="20"/>
          <w:szCs w:val="20"/>
        </w:rPr>
      </w:pPr>
    </w:p>
    <w:p w14:paraId="004B2B96" w14:textId="77777777" w:rsidR="00B40FA1" w:rsidRDefault="00C376B4" w:rsidP="00B40FA1">
      <w:pPr>
        <w:pStyle w:val="ListParagraph"/>
        <w:numPr>
          <w:ilvl w:val="0"/>
          <w:numId w:val="16"/>
        </w:numPr>
        <w:spacing w:after="0"/>
        <w:rPr>
          <w:rFonts w:ascii="Times New Roman" w:hAnsi="Times New Roman" w:cs="Times New Roman"/>
          <w:b/>
          <w:sz w:val="20"/>
          <w:szCs w:val="20"/>
        </w:rPr>
      </w:pPr>
      <w:r w:rsidRPr="00B40FA1">
        <w:rPr>
          <w:rFonts w:ascii="Times New Roman" w:hAnsi="Times New Roman" w:cs="Times New Roman"/>
          <w:b/>
          <w:sz w:val="20"/>
          <w:szCs w:val="20"/>
        </w:rPr>
        <w:t>ACCURACY AND CONFIDENTIALITY OF INFORMATION</w:t>
      </w:r>
    </w:p>
    <w:p w14:paraId="5ED3C7DF" w14:textId="77777777" w:rsidR="00B40FA1" w:rsidRPr="00B40FA1" w:rsidRDefault="00B40FA1" w:rsidP="00B40FA1">
      <w:pPr>
        <w:pStyle w:val="ListParagraph"/>
        <w:spacing w:after="0"/>
        <w:ind w:left="1440"/>
        <w:rPr>
          <w:rFonts w:ascii="Times New Roman" w:hAnsi="Times New Roman" w:cs="Times New Roman"/>
          <w:b/>
          <w:sz w:val="20"/>
          <w:szCs w:val="20"/>
        </w:rPr>
      </w:pPr>
    </w:p>
    <w:p w14:paraId="7DA7A08F" w14:textId="77777777" w:rsidR="00B40FA1" w:rsidRPr="00B40FA1" w:rsidRDefault="00134941" w:rsidP="00B40FA1">
      <w:pPr>
        <w:pStyle w:val="ListParagraph"/>
        <w:numPr>
          <w:ilvl w:val="1"/>
          <w:numId w:val="16"/>
        </w:numPr>
        <w:spacing w:after="0"/>
        <w:rPr>
          <w:rFonts w:ascii="Times New Roman" w:hAnsi="Times New Roman" w:cs="Times New Roman"/>
          <w:b/>
          <w:sz w:val="20"/>
          <w:szCs w:val="20"/>
        </w:rPr>
      </w:pPr>
      <w:r w:rsidRPr="00B40FA1">
        <w:rPr>
          <w:rFonts w:ascii="Times New Roman" w:hAnsi="Times New Roman" w:cs="Times New Roman"/>
          <w:sz w:val="20"/>
          <w:szCs w:val="20"/>
        </w:rPr>
        <w:t>Contractor is responsible for clearly and timely identifying to the Court any information that is necessary for the Contractor to provide the services outlined herein. The Court is responsible for providing such information in a timely manner, and for ensuring the accuracy and completeness of any such informati</w:t>
      </w:r>
      <w:r w:rsidR="001A00D6" w:rsidRPr="00B40FA1">
        <w:rPr>
          <w:rFonts w:ascii="Times New Roman" w:hAnsi="Times New Roman" w:cs="Times New Roman"/>
          <w:sz w:val="20"/>
          <w:szCs w:val="20"/>
        </w:rPr>
        <w:t>on furnished to the Contractor.</w:t>
      </w:r>
    </w:p>
    <w:p w14:paraId="22C7816A" w14:textId="77777777" w:rsidR="00B40FA1" w:rsidRPr="009E7C50" w:rsidRDefault="00134941" w:rsidP="00B40FA1">
      <w:pPr>
        <w:pStyle w:val="ListParagraph"/>
        <w:numPr>
          <w:ilvl w:val="1"/>
          <w:numId w:val="16"/>
        </w:numPr>
        <w:spacing w:after="0"/>
        <w:rPr>
          <w:rFonts w:ascii="Times New Roman" w:hAnsi="Times New Roman" w:cs="Times New Roman"/>
          <w:b/>
          <w:sz w:val="20"/>
          <w:szCs w:val="20"/>
        </w:rPr>
      </w:pPr>
      <w:r w:rsidRPr="00B40FA1">
        <w:rPr>
          <w:rFonts w:ascii="Times New Roman" w:hAnsi="Times New Roman" w:cs="Times New Roman"/>
          <w:sz w:val="20"/>
          <w:szCs w:val="20"/>
        </w:rPr>
        <w:t xml:space="preserve">Contractor </w:t>
      </w:r>
      <w:r w:rsidR="007E3AA4">
        <w:rPr>
          <w:rFonts w:ascii="Times New Roman" w:hAnsi="Times New Roman" w:cs="Times New Roman"/>
          <w:sz w:val="20"/>
          <w:szCs w:val="20"/>
        </w:rPr>
        <w:t>will</w:t>
      </w:r>
      <w:r w:rsidRPr="00B40FA1">
        <w:rPr>
          <w:rFonts w:ascii="Times New Roman" w:hAnsi="Times New Roman" w:cs="Times New Roman"/>
          <w:sz w:val="20"/>
          <w:szCs w:val="20"/>
        </w:rPr>
        <w:t xml:space="preserve"> maintain all information received from the Court confidential and </w:t>
      </w:r>
      <w:r w:rsidR="007E3AA4">
        <w:rPr>
          <w:rFonts w:ascii="Times New Roman" w:hAnsi="Times New Roman" w:cs="Times New Roman"/>
          <w:sz w:val="20"/>
          <w:szCs w:val="20"/>
        </w:rPr>
        <w:t>will</w:t>
      </w:r>
      <w:r w:rsidRPr="00B40FA1">
        <w:rPr>
          <w:rFonts w:ascii="Times New Roman" w:hAnsi="Times New Roman" w:cs="Times New Roman"/>
          <w:sz w:val="20"/>
          <w:szCs w:val="20"/>
        </w:rPr>
        <w:t xml:space="preserve"> take effective precaution to avoid disclosure of the health and financial information of the Court’s employees. Contractor </w:t>
      </w:r>
      <w:r w:rsidR="007E3AA4">
        <w:rPr>
          <w:rFonts w:ascii="Times New Roman" w:hAnsi="Times New Roman" w:cs="Times New Roman"/>
          <w:sz w:val="20"/>
          <w:szCs w:val="20"/>
        </w:rPr>
        <w:t>will</w:t>
      </w:r>
      <w:r w:rsidRPr="00B40FA1">
        <w:rPr>
          <w:rFonts w:ascii="Times New Roman" w:hAnsi="Times New Roman" w:cs="Times New Roman"/>
          <w:sz w:val="20"/>
          <w:szCs w:val="20"/>
        </w:rPr>
        <w:t xml:space="preserve"> not distribute, disclose, or release to any third party any such information except as may be necessary to the performance of services hereunder either during or at any time after the term of </w:t>
      </w:r>
      <w:r w:rsidR="00AC4CB7">
        <w:rPr>
          <w:rFonts w:ascii="Times New Roman" w:hAnsi="Times New Roman" w:cs="Times New Roman"/>
          <w:sz w:val="20"/>
          <w:szCs w:val="20"/>
        </w:rPr>
        <w:t>this</w:t>
      </w:r>
      <w:r w:rsidR="00924226" w:rsidRPr="00924226">
        <w:rPr>
          <w:rFonts w:ascii="Times New Roman" w:hAnsi="Times New Roman" w:cs="Times New Roman"/>
          <w:sz w:val="20"/>
          <w:szCs w:val="20"/>
        </w:rPr>
        <w:t xml:space="preserve"> </w:t>
      </w:r>
      <w:r w:rsidR="00AC4CB7">
        <w:rPr>
          <w:rFonts w:ascii="Times New Roman" w:hAnsi="Times New Roman" w:cs="Times New Roman"/>
          <w:sz w:val="20"/>
          <w:szCs w:val="20"/>
        </w:rPr>
        <w:t>A</w:t>
      </w:r>
      <w:r w:rsidR="00924226" w:rsidRPr="00924226">
        <w:rPr>
          <w:rFonts w:ascii="Times New Roman" w:hAnsi="Times New Roman" w:cs="Times New Roman"/>
          <w:sz w:val="20"/>
          <w:szCs w:val="20"/>
        </w:rPr>
        <w:t>greement</w:t>
      </w:r>
      <w:r w:rsidRPr="00B40FA1">
        <w:rPr>
          <w:rFonts w:ascii="Times New Roman" w:hAnsi="Times New Roman" w:cs="Times New Roman"/>
          <w:sz w:val="20"/>
          <w:szCs w:val="20"/>
        </w:rPr>
        <w:t>, except upon prior</w:t>
      </w:r>
      <w:r w:rsidR="00B40FA1">
        <w:rPr>
          <w:rFonts w:ascii="Times New Roman" w:hAnsi="Times New Roman" w:cs="Times New Roman"/>
          <w:sz w:val="20"/>
          <w:szCs w:val="20"/>
        </w:rPr>
        <w:t xml:space="preserve"> written approval of the Court.</w:t>
      </w:r>
    </w:p>
    <w:p w14:paraId="5ABC95E6" w14:textId="77777777" w:rsidR="009E7C50" w:rsidRPr="00937400" w:rsidRDefault="009E7C50" w:rsidP="009E7C50">
      <w:pPr>
        <w:pStyle w:val="ListParagraph"/>
        <w:spacing w:after="0"/>
        <w:ind w:left="1440"/>
        <w:rPr>
          <w:rFonts w:ascii="Times New Roman" w:hAnsi="Times New Roman" w:cs="Times New Roman"/>
          <w:b/>
          <w:sz w:val="20"/>
          <w:szCs w:val="20"/>
        </w:rPr>
      </w:pPr>
    </w:p>
    <w:p w14:paraId="0FCF82F5" w14:textId="77777777" w:rsidR="00B40FA1" w:rsidRDefault="00DE3578" w:rsidP="00B40FA1">
      <w:pPr>
        <w:pStyle w:val="ListParagraph"/>
        <w:numPr>
          <w:ilvl w:val="0"/>
          <w:numId w:val="16"/>
        </w:numPr>
        <w:spacing w:after="0"/>
        <w:rPr>
          <w:rFonts w:ascii="Times New Roman" w:hAnsi="Times New Roman" w:cs="Times New Roman"/>
          <w:b/>
          <w:sz w:val="20"/>
          <w:szCs w:val="20"/>
        </w:rPr>
      </w:pPr>
      <w:r w:rsidRPr="00B40FA1">
        <w:rPr>
          <w:rFonts w:ascii="Times New Roman" w:hAnsi="Times New Roman" w:cs="Times New Roman"/>
          <w:b/>
          <w:sz w:val="20"/>
          <w:szCs w:val="20"/>
        </w:rPr>
        <w:t>COPYRIGHT</w:t>
      </w:r>
    </w:p>
    <w:p w14:paraId="26DFA1C9" w14:textId="77777777" w:rsidR="00B40FA1" w:rsidRPr="00B40FA1" w:rsidRDefault="00B40FA1" w:rsidP="00B40FA1">
      <w:pPr>
        <w:pStyle w:val="ListParagraph"/>
        <w:spacing w:after="0"/>
        <w:ind w:left="1440"/>
        <w:rPr>
          <w:rFonts w:ascii="Times New Roman" w:hAnsi="Times New Roman" w:cs="Times New Roman"/>
          <w:b/>
          <w:sz w:val="20"/>
          <w:szCs w:val="20"/>
        </w:rPr>
      </w:pPr>
    </w:p>
    <w:p w14:paraId="6C4E5902" w14:textId="77777777" w:rsidR="00B40FA1" w:rsidRPr="00924226" w:rsidRDefault="00DE3578" w:rsidP="00B40FA1">
      <w:pPr>
        <w:pStyle w:val="ListParagraph"/>
        <w:numPr>
          <w:ilvl w:val="1"/>
          <w:numId w:val="16"/>
        </w:numPr>
        <w:spacing w:after="0"/>
        <w:rPr>
          <w:rFonts w:ascii="Times New Roman" w:hAnsi="Times New Roman" w:cs="Times New Roman"/>
          <w:b/>
          <w:sz w:val="20"/>
          <w:szCs w:val="20"/>
        </w:rPr>
      </w:pPr>
      <w:r w:rsidRPr="00B40FA1">
        <w:rPr>
          <w:rFonts w:ascii="Times New Roman" w:hAnsi="Times New Roman" w:cs="Times New Roman"/>
          <w:sz w:val="20"/>
          <w:szCs w:val="20"/>
        </w:rPr>
        <w:t>Th</w:t>
      </w:r>
      <w:r w:rsidRPr="00924226">
        <w:rPr>
          <w:rFonts w:ascii="Times New Roman" w:hAnsi="Times New Roman" w:cs="Times New Roman"/>
          <w:sz w:val="20"/>
          <w:szCs w:val="20"/>
        </w:rPr>
        <w:t xml:space="preserve">e Court </w:t>
      </w:r>
      <w:r w:rsidR="007E3AA4">
        <w:rPr>
          <w:rFonts w:ascii="Times New Roman" w:hAnsi="Times New Roman" w:cs="Times New Roman"/>
          <w:sz w:val="20"/>
          <w:szCs w:val="20"/>
        </w:rPr>
        <w:t>will</w:t>
      </w:r>
      <w:r w:rsidRPr="00924226">
        <w:rPr>
          <w:rFonts w:ascii="Times New Roman" w:hAnsi="Times New Roman" w:cs="Times New Roman"/>
          <w:sz w:val="20"/>
          <w:szCs w:val="20"/>
        </w:rPr>
        <w:t xml:space="preserve"> have a nontransferable, royalty-free, non-exclusive, and irrevocable license to publish, disclose, copy, translate and other wise use, now and hereafter, all employee communications, reports, studies, information, data, statistics, forms, designs, plans, procedures, systems, and any other material</w:t>
      </w:r>
      <w:r w:rsidR="00AC4CB7">
        <w:rPr>
          <w:rFonts w:ascii="Times New Roman" w:hAnsi="Times New Roman" w:cs="Times New Roman"/>
          <w:sz w:val="20"/>
          <w:szCs w:val="20"/>
        </w:rPr>
        <w:t>s or properties developed under this A</w:t>
      </w:r>
      <w:r w:rsidR="00515B41" w:rsidRPr="00924226">
        <w:rPr>
          <w:rFonts w:ascii="Times New Roman" w:hAnsi="Times New Roman" w:cs="Times New Roman"/>
          <w:sz w:val="20"/>
          <w:szCs w:val="20"/>
        </w:rPr>
        <w:t>greement</w:t>
      </w:r>
      <w:r w:rsidRPr="00924226">
        <w:rPr>
          <w:rFonts w:ascii="Times New Roman" w:hAnsi="Times New Roman" w:cs="Times New Roman"/>
          <w:sz w:val="20"/>
          <w:szCs w:val="20"/>
        </w:rPr>
        <w:t>. This license is lim</w:t>
      </w:r>
      <w:r w:rsidR="00AC4CB7">
        <w:rPr>
          <w:rFonts w:ascii="Times New Roman" w:hAnsi="Times New Roman" w:cs="Times New Roman"/>
          <w:sz w:val="20"/>
          <w:szCs w:val="20"/>
        </w:rPr>
        <w:t>ited to activities arising from this</w:t>
      </w:r>
      <w:r w:rsidR="00924226" w:rsidRPr="00924226">
        <w:rPr>
          <w:rFonts w:ascii="Times New Roman" w:hAnsi="Times New Roman" w:cs="Times New Roman"/>
          <w:sz w:val="20"/>
          <w:szCs w:val="20"/>
        </w:rPr>
        <w:t xml:space="preserve"> </w:t>
      </w:r>
      <w:r w:rsidR="00AC4CB7">
        <w:rPr>
          <w:rFonts w:ascii="Times New Roman" w:hAnsi="Times New Roman" w:cs="Times New Roman"/>
          <w:sz w:val="20"/>
          <w:szCs w:val="20"/>
        </w:rPr>
        <w:t>A</w:t>
      </w:r>
      <w:r w:rsidR="00924226" w:rsidRPr="00924226">
        <w:rPr>
          <w:rFonts w:ascii="Times New Roman" w:hAnsi="Times New Roman" w:cs="Times New Roman"/>
          <w:sz w:val="20"/>
          <w:szCs w:val="20"/>
        </w:rPr>
        <w:t xml:space="preserve">greement </w:t>
      </w:r>
      <w:r w:rsidRPr="00924226">
        <w:rPr>
          <w:rFonts w:ascii="Times New Roman" w:hAnsi="Times New Roman" w:cs="Times New Roman"/>
          <w:sz w:val="20"/>
          <w:szCs w:val="20"/>
        </w:rPr>
        <w:t>and the benefit</w:t>
      </w:r>
      <w:r w:rsidR="0030638E">
        <w:rPr>
          <w:rFonts w:ascii="Times New Roman" w:hAnsi="Times New Roman" w:cs="Times New Roman"/>
          <w:sz w:val="20"/>
          <w:szCs w:val="20"/>
        </w:rPr>
        <w:t xml:space="preserve"> plans</w:t>
      </w:r>
      <w:r w:rsidRPr="00924226">
        <w:rPr>
          <w:rFonts w:ascii="Times New Roman" w:hAnsi="Times New Roman" w:cs="Times New Roman"/>
          <w:sz w:val="20"/>
          <w:szCs w:val="20"/>
        </w:rPr>
        <w:t xml:space="preserve"> that is the purpose of </w:t>
      </w:r>
      <w:r w:rsidR="00AC4CB7">
        <w:rPr>
          <w:rFonts w:ascii="Times New Roman" w:hAnsi="Times New Roman" w:cs="Times New Roman"/>
          <w:sz w:val="20"/>
          <w:szCs w:val="20"/>
        </w:rPr>
        <w:t>this A</w:t>
      </w:r>
      <w:r w:rsidR="00515B41" w:rsidRPr="00924226">
        <w:rPr>
          <w:rFonts w:ascii="Times New Roman" w:hAnsi="Times New Roman" w:cs="Times New Roman"/>
          <w:sz w:val="20"/>
          <w:szCs w:val="20"/>
        </w:rPr>
        <w:t>gre</w:t>
      </w:r>
      <w:r w:rsidR="00AC4CB7">
        <w:rPr>
          <w:rFonts w:ascii="Times New Roman" w:hAnsi="Times New Roman" w:cs="Times New Roman"/>
          <w:sz w:val="20"/>
          <w:szCs w:val="20"/>
        </w:rPr>
        <w:t>ement</w:t>
      </w:r>
      <w:r w:rsidRPr="00924226">
        <w:rPr>
          <w:rFonts w:ascii="Times New Roman" w:hAnsi="Times New Roman" w:cs="Times New Roman"/>
          <w:sz w:val="20"/>
          <w:szCs w:val="20"/>
        </w:rPr>
        <w:t xml:space="preserve">. “Activities arising from” </w:t>
      </w:r>
      <w:r w:rsidR="00E8081D" w:rsidRPr="00924226">
        <w:rPr>
          <w:rFonts w:ascii="Times New Roman" w:hAnsi="Times New Roman" w:cs="Times New Roman"/>
          <w:sz w:val="20"/>
          <w:szCs w:val="20"/>
        </w:rPr>
        <w:t>will</w:t>
      </w:r>
      <w:r w:rsidRPr="00924226">
        <w:rPr>
          <w:rFonts w:ascii="Times New Roman" w:hAnsi="Times New Roman" w:cs="Times New Roman"/>
          <w:sz w:val="20"/>
          <w:szCs w:val="20"/>
        </w:rPr>
        <w:t xml:space="preserve"> include, without limitation, educational and training materials, curricula, audio/visual aids, printed materials, and periodicals. </w:t>
      </w:r>
    </w:p>
    <w:p w14:paraId="14B99C63" w14:textId="77777777" w:rsidR="00B40FA1" w:rsidRPr="00924226" w:rsidRDefault="00DE3578" w:rsidP="00B40FA1">
      <w:pPr>
        <w:pStyle w:val="ListParagraph"/>
        <w:numPr>
          <w:ilvl w:val="1"/>
          <w:numId w:val="16"/>
        </w:numPr>
        <w:spacing w:after="0"/>
        <w:rPr>
          <w:rFonts w:ascii="Times New Roman" w:hAnsi="Times New Roman" w:cs="Times New Roman"/>
          <w:b/>
          <w:sz w:val="20"/>
          <w:szCs w:val="20"/>
        </w:rPr>
      </w:pPr>
      <w:r w:rsidRPr="00924226">
        <w:rPr>
          <w:rFonts w:ascii="Times New Roman" w:hAnsi="Times New Roman" w:cs="Times New Roman"/>
          <w:sz w:val="20"/>
          <w:szCs w:val="20"/>
        </w:rPr>
        <w:t>The license includes those covered by copyright, and the Court reserves the right to authorize others to use or reproduce such materials for the purposes of th</w:t>
      </w:r>
      <w:r w:rsidR="0030638E">
        <w:rPr>
          <w:rFonts w:ascii="Times New Roman" w:hAnsi="Times New Roman" w:cs="Times New Roman"/>
          <w:sz w:val="20"/>
          <w:szCs w:val="20"/>
        </w:rPr>
        <w:t>ese</w:t>
      </w:r>
      <w:r w:rsidRPr="00924226">
        <w:rPr>
          <w:rFonts w:ascii="Times New Roman" w:hAnsi="Times New Roman" w:cs="Times New Roman"/>
          <w:sz w:val="20"/>
          <w:szCs w:val="20"/>
        </w:rPr>
        <w:t xml:space="preserve"> benefit plan</w:t>
      </w:r>
      <w:r w:rsidR="0030638E">
        <w:rPr>
          <w:rFonts w:ascii="Times New Roman" w:hAnsi="Times New Roman" w:cs="Times New Roman"/>
          <w:sz w:val="20"/>
          <w:szCs w:val="20"/>
        </w:rPr>
        <w:t>s</w:t>
      </w:r>
      <w:r w:rsidRPr="00924226">
        <w:rPr>
          <w:rFonts w:ascii="Times New Roman" w:hAnsi="Times New Roman" w:cs="Times New Roman"/>
          <w:sz w:val="20"/>
          <w:szCs w:val="20"/>
        </w:rPr>
        <w:t xml:space="preserve">. </w:t>
      </w:r>
    </w:p>
    <w:p w14:paraId="2FB142C7" w14:textId="593E1F4C" w:rsidR="00F03378" w:rsidRPr="00924226" w:rsidRDefault="00DE3578" w:rsidP="00B40FA1">
      <w:pPr>
        <w:pStyle w:val="ListParagraph"/>
        <w:numPr>
          <w:ilvl w:val="1"/>
          <w:numId w:val="16"/>
        </w:numPr>
        <w:spacing w:after="0"/>
        <w:rPr>
          <w:rFonts w:ascii="Times New Roman" w:hAnsi="Times New Roman" w:cs="Times New Roman"/>
          <w:b/>
          <w:sz w:val="20"/>
          <w:szCs w:val="20"/>
        </w:rPr>
      </w:pPr>
      <w:r w:rsidRPr="00924226">
        <w:rPr>
          <w:rFonts w:ascii="Times New Roman" w:eastAsiaTheme="minorHAnsi" w:hAnsi="Times New Roman" w:cs="Times New Roman"/>
          <w:sz w:val="20"/>
          <w:szCs w:val="20"/>
        </w:rPr>
        <w:t xml:space="preserve">All materials developed specifically for the Court under the terms of </w:t>
      </w:r>
      <w:r w:rsidR="00AA3A6E">
        <w:rPr>
          <w:rFonts w:ascii="Times New Roman" w:hAnsi="Times New Roman" w:cs="Times New Roman"/>
          <w:sz w:val="20"/>
          <w:szCs w:val="20"/>
        </w:rPr>
        <w:t>this</w:t>
      </w:r>
      <w:r w:rsidR="00515B41" w:rsidRPr="00924226">
        <w:rPr>
          <w:rFonts w:ascii="Times New Roman" w:hAnsi="Times New Roman" w:cs="Times New Roman"/>
          <w:sz w:val="20"/>
          <w:szCs w:val="20"/>
        </w:rPr>
        <w:t xml:space="preserve"> </w:t>
      </w:r>
      <w:r w:rsidR="00AA3A6E">
        <w:rPr>
          <w:rFonts w:ascii="Times New Roman" w:hAnsi="Times New Roman" w:cs="Times New Roman"/>
          <w:sz w:val="20"/>
          <w:szCs w:val="20"/>
        </w:rPr>
        <w:t>A</w:t>
      </w:r>
      <w:r w:rsidR="00515B41" w:rsidRPr="00924226">
        <w:rPr>
          <w:rFonts w:ascii="Times New Roman" w:hAnsi="Times New Roman" w:cs="Times New Roman"/>
          <w:sz w:val="20"/>
          <w:szCs w:val="20"/>
        </w:rPr>
        <w:t>greement</w:t>
      </w:r>
      <w:r w:rsidR="00515B41" w:rsidRPr="00924226">
        <w:rPr>
          <w:rFonts w:ascii="Times New Roman" w:eastAsiaTheme="minorHAnsi" w:hAnsi="Times New Roman" w:cs="Times New Roman"/>
          <w:sz w:val="20"/>
          <w:szCs w:val="20"/>
        </w:rPr>
        <w:t xml:space="preserve"> </w:t>
      </w:r>
      <w:r w:rsidR="00E8081D" w:rsidRPr="00924226">
        <w:rPr>
          <w:rFonts w:ascii="Times New Roman" w:eastAsiaTheme="minorHAnsi" w:hAnsi="Times New Roman" w:cs="Times New Roman"/>
          <w:sz w:val="20"/>
          <w:szCs w:val="20"/>
        </w:rPr>
        <w:t>will</w:t>
      </w:r>
      <w:r w:rsidR="001A00D6" w:rsidRPr="00924226">
        <w:rPr>
          <w:rFonts w:ascii="Times New Roman" w:eastAsiaTheme="minorHAnsi" w:hAnsi="Times New Roman" w:cs="Times New Roman"/>
          <w:sz w:val="20"/>
          <w:szCs w:val="20"/>
        </w:rPr>
        <w:t xml:space="preserve"> </w:t>
      </w:r>
      <w:r w:rsidR="00EB53CA" w:rsidRPr="00924226">
        <w:rPr>
          <w:rFonts w:ascii="Times New Roman" w:eastAsiaTheme="minorHAnsi" w:hAnsi="Times New Roman" w:cs="Times New Roman"/>
          <w:sz w:val="20"/>
          <w:szCs w:val="20"/>
        </w:rPr>
        <w:t>a</w:t>
      </w:r>
      <w:r w:rsidRPr="00924226">
        <w:rPr>
          <w:rFonts w:ascii="Times New Roman" w:eastAsiaTheme="minorHAnsi" w:hAnsi="Times New Roman" w:cs="Times New Roman"/>
          <w:sz w:val="20"/>
          <w:szCs w:val="20"/>
        </w:rPr>
        <w:t xml:space="preserve">cknowledge Court as the funding agency and Contractor as the creator of the publication. No such materials or properties produced in whole or in part under </w:t>
      </w:r>
      <w:r w:rsidR="00AA3A6E">
        <w:rPr>
          <w:rFonts w:ascii="Times New Roman" w:hAnsi="Times New Roman" w:cs="Times New Roman"/>
          <w:sz w:val="20"/>
          <w:szCs w:val="20"/>
        </w:rPr>
        <w:t>this</w:t>
      </w:r>
      <w:r w:rsidR="00515B41" w:rsidRPr="00924226">
        <w:rPr>
          <w:rFonts w:ascii="Times New Roman" w:hAnsi="Times New Roman" w:cs="Times New Roman"/>
          <w:sz w:val="20"/>
          <w:szCs w:val="20"/>
        </w:rPr>
        <w:t xml:space="preserve"> </w:t>
      </w:r>
      <w:r w:rsidR="00AA3A6E">
        <w:rPr>
          <w:rFonts w:ascii="Times New Roman" w:hAnsi="Times New Roman" w:cs="Times New Roman"/>
          <w:sz w:val="20"/>
          <w:szCs w:val="20"/>
        </w:rPr>
        <w:t>A</w:t>
      </w:r>
      <w:r w:rsidR="00515B41" w:rsidRPr="00924226">
        <w:rPr>
          <w:rFonts w:ascii="Times New Roman" w:hAnsi="Times New Roman" w:cs="Times New Roman"/>
          <w:sz w:val="20"/>
          <w:szCs w:val="20"/>
        </w:rPr>
        <w:t>greement</w:t>
      </w:r>
      <w:r w:rsidR="00AA3A6E">
        <w:rPr>
          <w:rFonts w:ascii="Times New Roman" w:hAnsi="Times New Roman" w:cs="Times New Roman"/>
          <w:sz w:val="20"/>
          <w:szCs w:val="20"/>
        </w:rPr>
        <w:t xml:space="preserve"> will be</w:t>
      </w:r>
      <w:r w:rsidRPr="00924226">
        <w:rPr>
          <w:rFonts w:ascii="Times New Roman" w:eastAsiaTheme="minorHAnsi" w:hAnsi="Times New Roman" w:cs="Times New Roman"/>
          <w:sz w:val="20"/>
          <w:szCs w:val="20"/>
        </w:rPr>
        <w:t xml:space="preserve"> subject to private use, </w:t>
      </w:r>
      <w:r w:rsidR="00A233EE" w:rsidRPr="00924226">
        <w:rPr>
          <w:rFonts w:ascii="Times New Roman" w:eastAsiaTheme="minorHAnsi" w:hAnsi="Times New Roman" w:cs="Times New Roman"/>
          <w:sz w:val="20"/>
          <w:szCs w:val="20"/>
        </w:rPr>
        <w:t>copyright,</w:t>
      </w:r>
      <w:r w:rsidRPr="00924226">
        <w:rPr>
          <w:rFonts w:ascii="Times New Roman" w:eastAsiaTheme="minorHAnsi" w:hAnsi="Times New Roman" w:cs="Times New Roman"/>
          <w:sz w:val="20"/>
          <w:szCs w:val="20"/>
        </w:rPr>
        <w:t xml:space="preserve"> or patent right by Contractor in the United States or in any other country without the express written consent of Court. </w:t>
      </w:r>
    </w:p>
    <w:p w14:paraId="3E5BAAB4" w14:textId="77777777" w:rsidR="00537FFE" w:rsidRDefault="00537FFE" w:rsidP="00B40FA1">
      <w:pPr>
        <w:spacing w:after="0"/>
        <w:jc w:val="center"/>
        <w:rPr>
          <w:rFonts w:ascii="Times New Roman" w:hAnsi="Times New Roman" w:cs="Times New Roman"/>
          <w:i/>
          <w:sz w:val="20"/>
          <w:szCs w:val="20"/>
        </w:rPr>
      </w:pPr>
    </w:p>
    <w:p w14:paraId="5DB09022" w14:textId="77777777" w:rsidR="00B40FA1" w:rsidRPr="00B40FA1" w:rsidRDefault="00B40FA1" w:rsidP="00B40FA1">
      <w:pPr>
        <w:spacing w:after="0"/>
        <w:jc w:val="center"/>
        <w:rPr>
          <w:rFonts w:ascii="Times New Roman" w:hAnsi="Times New Roman" w:cs="Times New Roman"/>
          <w:i/>
          <w:sz w:val="20"/>
          <w:szCs w:val="20"/>
        </w:rPr>
      </w:pPr>
      <w:r w:rsidRPr="00B40FA1">
        <w:rPr>
          <w:rFonts w:ascii="Times New Roman" w:hAnsi="Times New Roman" w:cs="Times New Roman"/>
          <w:i/>
          <w:sz w:val="20"/>
          <w:szCs w:val="20"/>
        </w:rPr>
        <w:t xml:space="preserve">End of </w:t>
      </w:r>
      <w:r w:rsidR="007E3AA4">
        <w:rPr>
          <w:rFonts w:ascii="Times New Roman" w:hAnsi="Times New Roman" w:cs="Times New Roman"/>
          <w:i/>
          <w:sz w:val="20"/>
          <w:szCs w:val="20"/>
        </w:rPr>
        <w:t>Exhibit A</w:t>
      </w:r>
    </w:p>
    <w:sectPr w:rsidR="00B40FA1" w:rsidRPr="00B40FA1" w:rsidSect="00537FFE">
      <w:type w:val="continuous"/>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5EAF" w14:textId="77777777" w:rsidR="0050364E" w:rsidRDefault="0050364E" w:rsidP="00C4582D">
      <w:pPr>
        <w:spacing w:after="0" w:line="240" w:lineRule="auto"/>
      </w:pPr>
      <w:r>
        <w:separator/>
      </w:r>
    </w:p>
  </w:endnote>
  <w:endnote w:type="continuationSeparator" w:id="0">
    <w:p w14:paraId="0C094F51" w14:textId="77777777" w:rsidR="0050364E" w:rsidRDefault="0050364E" w:rsidP="00C4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FC9A" w14:textId="77777777" w:rsidR="0030516E" w:rsidRPr="00537FFE" w:rsidRDefault="0030516E" w:rsidP="00537FFE">
    <w:pPr>
      <w:pStyle w:val="Footer"/>
      <w:jc w:val="right"/>
      <w:rPr>
        <w:rFonts w:ascii="Times New Roman" w:hAnsi="Times New Roman" w:cs="Times New Roman"/>
        <w:sz w:val="20"/>
        <w:szCs w:val="20"/>
      </w:rPr>
    </w:pPr>
    <w:r w:rsidRPr="00DE7EC0">
      <w:rPr>
        <w:rFonts w:ascii="Times New Roman" w:hAnsi="Times New Roman" w:cs="Times New Roman"/>
        <w:sz w:val="20"/>
        <w:szCs w:val="20"/>
      </w:rPr>
      <w:t xml:space="preserve">Exhibit </w:t>
    </w:r>
    <w:r>
      <w:rPr>
        <w:rFonts w:ascii="Times New Roman" w:hAnsi="Times New Roman" w:cs="Times New Roman"/>
        <w:sz w:val="20"/>
        <w:szCs w:val="20"/>
      </w:rPr>
      <w:t>A</w:t>
    </w:r>
    <w:r w:rsidRPr="00DE7EC0">
      <w:rPr>
        <w:rFonts w:ascii="Times New Roman" w:hAnsi="Times New Roman" w:cs="Times New Roman"/>
        <w:sz w:val="20"/>
        <w:szCs w:val="20"/>
      </w:rPr>
      <w:t xml:space="preserve">: </w:t>
    </w:r>
    <w:r>
      <w:rPr>
        <w:rFonts w:ascii="Times New Roman" w:hAnsi="Times New Roman" w:cs="Times New Roman"/>
        <w:sz w:val="20"/>
        <w:szCs w:val="20"/>
      </w:rPr>
      <w:t>Statement of Work</w:t>
    </w:r>
    <w:r w:rsidRPr="00DE7EC0">
      <w:rPr>
        <w:rFonts w:ascii="Times New Roman" w:hAnsi="Times New Roman" w:cs="Times New Roman"/>
        <w:sz w:val="20"/>
        <w:szCs w:val="20"/>
      </w:rPr>
      <w:t xml:space="preserve"> // </w:t>
    </w:r>
    <w:sdt>
      <w:sdtPr>
        <w:rPr>
          <w:rFonts w:ascii="Times New Roman" w:hAnsi="Times New Roman" w:cs="Times New Roman"/>
          <w:sz w:val="20"/>
          <w:szCs w:val="20"/>
        </w:rPr>
        <w:id w:val="960536946"/>
        <w:docPartObj>
          <w:docPartGallery w:val="Page Numbers (Bottom of Page)"/>
          <w:docPartUnique/>
        </w:docPartObj>
      </w:sdtPr>
      <w:sdtEndPr/>
      <w:sdtContent>
        <w:sdt>
          <w:sdtPr>
            <w:rPr>
              <w:rFonts w:ascii="Times New Roman" w:hAnsi="Times New Roman" w:cs="Times New Roman"/>
              <w:sz w:val="20"/>
              <w:szCs w:val="20"/>
            </w:rPr>
            <w:id w:val="1930770712"/>
            <w:docPartObj>
              <w:docPartGallery w:val="Page Numbers (Top of Page)"/>
              <w:docPartUnique/>
            </w:docPartObj>
          </w:sdtPr>
          <w:sdtEndPr/>
          <w:sdtContent>
            <w:r w:rsidRPr="00DE7EC0">
              <w:rPr>
                <w:rFonts w:ascii="Times New Roman" w:hAnsi="Times New Roman" w:cs="Times New Roman"/>
                <w:sz w:val="20"/>
                <w:szCs w:val="20"/>
              </w:rPr>
              <w:t xml:space="preserve">Page </w:t>
            </w:r>
            <w:r w:rsidRPr="00DE7EC0">
              <w:rPr>
                <w:rFonts w:ascii="Times New Roman" w:hAnsi="Times New Roman" w:cs="Times New Roman"/>
                <w:bCs/>
                <w:sz w:val="20"/>
                <w:szCs w:val="20"/>
              </w:rPr>
              <w:fldChar w:fldCharType="begin"/>
            </w:r>
            <w:r w:rsidRPr="00DE7EC0">
              <w:rPr>
                <w:rFonts w:ascii="Times New Roman" w:hAnsi="Times New Roman" w:cs="Times New Roman"/>
                <w:bCs/>
                <w:sz w:val="20"/>
                <w:szCs w:val="20"/>
              </w:rPr>
              <w:instrText xml:space="preserve"> PAGE </w:instrText>
            </w:r>
            <w:r w:rsidRPr="00DE7EC0">
              <w:rPr>
                <w:rFonts w:ascii="Times New Roman" w:hAnsi="Times New Roman" w:cs="Times New Roman"/>
                <w:bCs/>
                <w:sz w:val="20"/>
                <w:szCs w:val="20"/>
              </w:rPr>
              <w:fldChar w:fldCharType="separate"/>
            </w:r>
            <w:r w:rsidR="00A26D96">
              <w:rPr>
                <w:rFonts w:ascii="Times New Roman" w:hAnsi="Times New Roman" w:cs="Times New Roman"/>
                <w:bCs/>
                <w:noProof/>
                <w:sz w:val="20"/>
                <w:szCs w:val="20"/>
              </w:rPr>
              <w:t>6</w:t>
            </w:r>
            <w:r w:rsidRPr="00DE7EC0">
              <w:rPr>
                <w:rFonts w:ascii="Times New Roman" w:hAnsi="Times New Roman" w:cs="Times New Roman"/>
                <w:bCs/>
                <w:sz w:val="20"/>
                <w:szCs w:val="20"/>
              </w:rPr>
              <w:fldChar w:fldCharType="end"/>
            </w:r>
            <w:r w:rsidRPr="00DE7EC0">
              <w:rPr>
                <w:rFonts w:ascii="Times New Roman" w:hAnsi="Times New Roman" w:cs="Times New Roman"/>
                <w:sz w:val="20"/>
                <w:szCs w:val="20"/>
              </w:rPr>
              <w:t xml:space="preserve"> of </w:t>
            </w:r>
            <w:r w:rsidRPr="00DE7EC0">
              <w:rPr>
                <w:rFonts w:ascii="Times New Roman" w:hAnsi="Times New Roman" w:cs="Times New Roman"/>
                <w:bCs/>
                <w:sz w:val="20"/>
                <w:szCs w:val="20"/>
              </w:rPr>
              <w:fldChar w:fldCharType="begin"/>
            </w:r>
            <w:r w:rsidRPr="00DE7EC0">
              <w:rPr>
                <w:rFonts w:ascii="Times New Roman" w:hAnsi="Times New Roman" w:cs="Times New Roman"/>
                <w:bCs/>
                <w:sz w:val="20"/>
                <w:szCs w:val="20"/>
              </w:rPr>
              <w:instrText xml:space="preserve"> NUMPAGES  </w:instrText>
            </w:r>
            <w:r w:rsidRPr="00DE7EC0">
              <w:rPr>
                <w:rFonts w:ascii="Times New Roman" w:hAnsi="Times New Roman" w:cs="Times New Roman"/>
                <w:bCs/>
                <w:sz w:val="20"/>
                <w:szCs w:val="20"/>
              </w:rPr>
              <w:fldChar w:fldCharType="separate"/>
            </w:r>
            <w:r w:rsidR="00A26D96">
              <w:rPr>
                <w:rFonts w:ascii="Times New Roman" w:hAnsi="Times New Roman" w:cs="Times New Roman"/>
                <w:bCs/>
                <w:noProof/>
                <w:sz w:val="20"/>
                <w:szCs w:val="20"/>
              </w:rPr>
              <w:t>6</w:t>
            </w:r>
            <w:r w:rsidRPr="00DE7EC0">
              <w:rPr>
                <w:rFonts w:ascii="Times New Roman" w:hAnsi="Times New Roman" w:cs="Times New Roman"/>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CD1E" w14:textId="77777777" w:rsidR="0030516E" w:rsidRPr="00F1035D" w:rsidRDefault="0030516E">
    <w:pPr>
      <w:pStyle w:val="Footer"/>
      <w:rPr>
        <w:rFonts w:asciiTheme="majorHAnsi" w:hAnsiTheme="majorHAnsi"/>
        <w:sz w:val="16"/>
        <w:szCs w:val="16"/>
      </w:rPr>
    </w:pPr>
    <w:r w:rsidRPr="00F1035D">
      <w:rPr>
        <w:rFonts w:asciiTheme="majorHAnsi" w:hAnsiTheme="majorHAnsi"/>
        <w:sz w:val="16"/>
        <w:szCs w:val="16"/>
      </w:rPr>
      <w:ptab w:relativeTo="margin" w:alignment="center" w:leader="none"/>
    </w:r>
    <w:r w:rsidRPr="00F1035D">
      <w:rPr>
        <w:rFonts w:asciiTheme="majorHAnsi" w:hAnsiTheme="majorHAnsi"/>
        <w:sz w:val="16"/>
        <w:szCs w:val="16"/>
      </w:rPr>
      <w:ptab w:relativeTo="margin" w:alignment="right" w:leader="none"/>
    </w:r>
    <w:sdt>
      <w:sdtPr>
        <w:rPr>
          <w:rFonts w:asciiTheme="majorHAnsi" w:hAnsiTheme="majorHAnsi"/>
          <w:sz w:val="16"/>
          <w:szCs w:val="16"/>
        </w:rPr>
        <w:id w:val="-642500110"/>
        <w:docPartObj>
          <w:docPartGallery w:val="Page Numbers (Bottom of Page)"/>
          <w:docPartUnique/>
        </w:docPartObj>
      </w:sdtPr>
      <w:sdtEndPr/>
      <w:sdtContent>
        <w:sdt>
          <w:sdtPr>
            <w:rPr>
              <w:rFonts w:asciiTheme="majorHAnsi" w:hAnsiTheme="majorHAnsi"/>
              <w:sz w:val="16"/>
              <w:szCs w:val="16"/>
            </w:rPr>
            <w:id w:val="860082579"/>
            <w:docPartObj>
              <w:docPartGallery w:val="Page Numbers (Top of Page)"/>
              <w:docPartUnique/>
            </w:docPartObj>
          </w:sdtPr>
          <w:sdtEndPr/>
          <w:sdtContent>
            <w:r w:rsidRPr="00F1035D">
              <w:rPr>
                <w:rFonts w:asciiTheme="majorHAnsi" w:hAnsiTheme="majorHAnsi"/>
                <w:sz w:val="16"/>
                <w:szCs w:val="16"/>
              </w:rPr>
              <w:t xml:space="preserve"> Exhibit </w:t>
            </w:r>
            <w:r w:rsidR="00A26D96">
              <w:rPr>
                <w:rFonts w:asciiTheme="majorHAnsi" w:hAnsiTheme="majorHAnsi"/>
                <w:sz w:val="16"/>
                <w:szCs w:val="16"/>
              </w:rPr>
              <w:t>A</w:t>
            </w:r>
            <w:r w:rsidRPr="00F1035D">
              <w:rPr>
                <w:rFonts w:asciiTheme="majorHAnsi" w:hAnsiTheme="majorHAnsi"/>
                <w:sz w:val="16"/>
                <w:szCs w:val="16"/>
              </w:rPr>
              <w:t xml:space="preserve">: Statement of Work // Page </w:t>
            </w:r>
            <w:r w:rsidRPr="00F1035D">
              <w:rPr>
                <w:rFonts w:asciiTheme="majorHAnsi" w:hAnsiTheme="majorHAnsi"/>
                <w:b/>
                <w:bCs/>
                <w:sz w:val="16"/>
                <w:szCs w:val="16"/>
              </w:rPr>
              <w:fldChar w:fldCharType="begin"/>
            </w:r>
            <w:r w:rsidRPr="00F1035D">
              <w:rPr>
                <w:rFonts w:asciiTheme="majorHAnsi" w:hAnsiTheme="majorHAnsi"/>
                <w:b/>
                <w:bCs/>
                <w:sz w:val="16"/>
                <w:szCs w:val="16"/>
              </w:rPr>
              <w:instrText xml:space="preserve"> PAGE </w:instrText>
            </w:r>
            <w:r w:rsidRPr="00F1035D">
              <w:rPr>
                <w:rFonts w:asciiTheme="majorHAnsi" w:hAnsiTheme="majorHAnsi"/>
                <w:b/>
                <w:bCs/>
                <w:sz w:val="16"/>
                <w:szCs w:val="16"/>
              </w:rPr>
              <w:fldChar w:fldCharType="separate"/>
            </w:r>
            <w:r w:rsidR="00A26D96">
              <w:rPr>
                <w:rFonts w:asciiTheme="majorHAnsi" w:hAnsiTheme="majorHAnsi"/>
                <w:b/>
                <w:bCs/>
                <w:noProof/>
                <w:sz w:val="16"/>
                <w:szCs w:val="16"/>
              </w:rPr>
              <w:t>1</w:t>
            </w:r>
            <w:r w:rsidRPr="00F1035D">
              <w:rPr>
                <w:rFonts w:asciiTheme="majorHAnsi" w:hAnsiTheme="majorHAnsi"/>
                <w:b/>
                <w:bCs/>
                <w:sz w:val="16"/>
                <w:szCs w:val="16"/>
              </w:rPr>
              <w:fldChar w:fldCharType="end"/>
            </w:r>
            <w:r w:rsidRPr="00F1035D">
              <w:rPr>
                <w:rFonts w:asciiTheme="majorHAnsi" w:hAnsiTheme="majorHAnsi"/>
                <w:sz w:val="16"/>
                <w:szCs w:val="16"/>
              </w:rPr>
              <w:t xml:space="preserve"> of </w:t>
            </w:r>
            <w:r w:rsidRPr="00F1035D">
              <w:rPr>
                <w:rFonts w:asciiTheme="majorHAnsi" w:hAnsiTheme="majorHAnsi"/>
                <w:b/>
                <w:bCs/>
                <w:sz w:val="16"/>
                <w:szCs w:val="16"/>
              </w:rPr>
              <w:fldChar w:fldCharType="begin"/>
            </w:r>
            <w:r w:rsidRPr="00F1035D">
              <w:rPr>
                <w:rFonts w:asciiTheme="majorHAnsi" w:hAnsiTheme="majorHAnsi"/>
                <w:b/>
                <w:bCs/>
                <w:sz w:val="16"/>
                <w:szCs w:val="16"/>
              </w:rPr>
              <w:instrText xml:space="preserve"> NUMPAGES  </w:instrText>
            </w:r>
            <w:r w:rsidRPr="00F1035D">
              <w:rPr>
                <w:rFonts w:asciiTheme="majorHAnsi" w:hAnsiTheme="majorHAnsi"/>
                <w:b/>
                <w:bCs/>
                <w:sz w:val="16"/>
                <w:szCs w:val="16"/>
              </w:rPr>
              <w:fldChar w:fldCharType="separate"/>
            </w:r>
            <w:r w:rsidR="00A26D96">
              <w:rPr>
                <w:rFonts w:asciiTheme="majorHAnsi" w:hAnsiTheme="majorHAnsi"/>
                <w:b/>
                <w:bCs/>
                <w:noProof/>
                <w:sz w:val="16"/>
                <w:szCs w:val="16"/>
              </w:rPr>
              <w:t>6</w:t>
            </w:r>
            <w:r w:rsidRPr="00F1035D">
              <w:rPr>
                <w:rFonts w:asciiTheme="majorHAnsi" w:hAnsiTheme="majorHAnsi"/>
                <w:b/>
                <w:bCs/>
                <w:sz w:val="16"/>
                <w:szCs w:val="16"/>
              </w:rPr>
              <w:fldChar w:fldCharType="end"/>
            </w:r>
          </w:sdtContent>
        </w:sdt>
      </w:sdtContent>
    </w:sdt>
    <w:r w:rsidRPr="00F1035D">
      <w:rPr>
        <w:rFonts w:asciiTheme="majorHAnsi" w:hAnsiTheme="maj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4B63" w14:textId="77777777" w:rsidR="0050364E" w:rsidRDefault="0050364E" w:rsidP="00C4582D">
      <w:pPr>
        <w:spacing w:after="0" w:line="240" w:lineRule="auto"/>
      </w:pPr>
      <w:r>
        <w:separator/>
      </w:r>
    </w:p>
  </w:footnote>
  <w:footnote w:type="continuationSeparator" w:id="0">
    <w:p w14:paraId="440E29CD" w14:textId="77777777" w:rsidR="0050364E" w:rsidRDefault="0050364E" w:rsidP="00C45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22E7" w14:textId="2D09510D" w:rsidR="0030516E" w:rsidRPr="00C144FF" w:rsidRDefault="000C41FC">
    <w:pPr>
      <w:pStyle w:val="Header"/>
      <w:rPr>
        <w:rFonts w:ascii="Times New Roman" w:hAnsi="Times New Roman" w:cs="Times New Roman"/>
        <w:sz w:val="16"/>
        <w:szCs w:val="16"/>
      </w:rPr>
    </w:pPr>
    <w:r>
      <w:rPr>
        <w:rFonts w:ascii="Times New Roman" w:hAnsi="Times New Roman" w:cs="Times New Roman"/>
        <w:sz w:val="16"/>
        <w:szCs w:val="16"/>
      </w:rPr>
      <w:t>RFP 25-11 Health Insurance-Benefits Broker-Servicer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A042" w14:textId="4D99E8CE" w:rsidR="0030516E" w:rsidRPr="00E53175" w:rsidRDefault="00A1569B" w:rsidP="00E53175">
    <w:pPr>
      <w:pStyle w:val="Header"/>
      <w:rPr>
        <w:rFonts w:ascii="Times New Roman" w:hAnsi="Times New Roman" w:cs="Times New Roman"/>
        <w:sz w:val="16"/>
        <w:szCs w:val="16"/>
      </w:rPr>
    </w:pPr>
    <w:r>
      <w:rPr>
        <w:rFonts w:ascii="Times New Roman" w:hAnsi="Times New Roman" w:cs="Times New Roman"/>
        <w:sz w:val="16"/>
        <w:szCs w:val="16"/>
      </w:rPr>
      <w:t>RFP 25-11 Health Insurance-Benefits Broker-Servicer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80"/>
    <w:multiLevelType w:val="hybridMultilevel"/>
    <w:tmpl w:val="C39A7BDE"/>
    <w:lvl w:ilvl="0" w:tplc="54140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6EA"/>
    <w:multiLevelType w:val="hybridMultilevel"/>
    <w:tmpl w:val="389642AE"/>
    <w:lvl w:ilvl="0" w:tplc="775A26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BD4345"/>
    <w:multiLevelType w:val="hybridMultilevel"/>
    <w:tmpl w:val="3DB47402"/>
    <w:lvl w:ilvl="0" w:tplc="DF7E5E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F94210"/>
    <w:multiLevelType w:val="multilevel"/>
    <w:tmpl w:val="610439B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A9D21A4"/>
    <w:multiLevelType w:val="multilevel"/>
    <w:tmpl w:val="6F8489B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C66327B"/>
    <w:multiLevelType w:val="hybridMultilevel"/>
    <w:tmpl w:val="A5E82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520F19"/>
    <w:multiLevelType w:val="multilevel"/>
    <w:tmpl w:val="CE2ADB0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883663E"/>
    <w:multiLevelType w:val="hybridMultilevel"/>
    <w:tmpl w:val="E06050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sz w:val="20"/>
      </w:rPr>
    </w:lvl>
    <w:lvl w:ilvl="2" w:tplc="FFCE37AC">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40562"/>
    <w:multiLevelType w:val="hybridMultilevel"/>
    <w:tmpl w:val="557E5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8949CD"/>
    <w:multiLevelType w:val="hybridMultilevel"/>
    <w:tmpl w:val="2766D3FE"/>
    <w:lvl w:ilvl="0" w:tplc="166465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906C0B"/>
    <w:multiLevelType w:val="multilevel"/>
    <w:tmpl w:val="DD3A939A"/>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4E5006BD"/>
    <w:multiLevelType w:val="multilevel"/>
    <w:tmpl w:val="A9407FA0"/>
    <w:lvl w:ilvl="0">
      <w:start w:val="1"/>
      <w:numFmt w:val="decimal"/>
      <w:lvlText w:val="%1.1"/>
      <w:lvlJc w:val="left"/>
      <w:pPr>
        <w:ind w:left="720" w:hanging="720"/>
      </w:pPr>
      <w:rPr>
        <w:rFonts w:ascii="Times New Roman Bold" w:hAnsi="Times New Roman Bold" w:hint="default"/>
        <w:b/>
        <w:i w:val="0"/>
        <w:color w:val="auto"/>
        <w:sz w:val="20"/>
      </w:rPr>
    </w:lvl>
    <w:lvl w:ilvl="1">
      <w:start w:val="1"/>
      <w:numFmt w:val="decimal"/>
      <w:lvlText w:val="%1.%2"/>
      <w:lvlJc w:val="left"/>
      <w:pPr>
        <w:ind w:left="1440" w:hanging="720"/>
      </w:pPr>
      <w:rPr>
        <w:rFonts w:ascii="Times New Roman" w:hAnsi="Times New Roman" w:hint="default"/>
        <w:b w:val="0"/>
        <w:i w:val="0"/>
        <w:sz w:val="20"/>
      </w:rPr>
    </w:lvl>
    <w:lvl w:ilvl="2">
      <w:start w:val="1"/>
      <w:numFmt w:val="lowerLetter"/>
      <w:lvlText w:val="(%3)"/>
      <w:lvlJc w:val="left"/>
      <w:pPr>
        <w:ind w:left="2160" w:hanging="720"/>
      </w:pPr>
      <w:rPr>
        <w:rFonts w:ascii="Times New Roman" w:hAnsi="Times New Roman" w:hint="default"/>
        <w:b w:val="0"/>
        <w:i w:val="0"/>
        <w:sz w:val="20"/>
      </w:rPr>
    </w:lvl>
    <w:lvl w:ilvl="3">
      <w:start w:val="1"/>
      <w:numFmt w:val="lowerRoman"/>
      <w:lvlText w:val="(%4)"/>
      <w:lvlJc w:val="left"/>
      <w:pPr>
        <w:ind w:left="2880" w:hanging="720"/>
      </w:pPr>
      <w:rPr>
        <w:rFonts w:ascii="Times New Roman" w:hAnsi="Times New Roman" w:hint="default"/>
        <w:b w:val="0"/>
        <w:i w:val="0"/>
        <w:color w:val="auto"/>
        <w:sz w:val="20"/>
      </w:rPr>
    </w:lvl>
    <w:lvl w:ilvl="4">
      <w:start w:val="1"/>
      <w:numFmt w:val="bullet"/>
      <w:lvlText w:val=""/>
      <w:lvlJc w:val="left"/>
      <w:pPr>
        <w:ind w:left="3600" w:hanging="720"/>
      </w:pPr>
      <w:rPr>
        <w:rFonts w:ascii="Symbol" w:hAnsi="Symbol" w:hint="default"/>
        <w:color w:val="auto"/>
      </w:rPr>
    </w:lvl>
    <w:lvl w:ilvl="5">
      <w:start w:val="1"/>
      <w:numFmt w:val="decimal"/>
      <w:lvlText w:val="(%6)"/>
      <w:lvlJc w:val="left"/>
      <w:pPr>
        <w:ind w:left="4320" w:hanging="720"/>
      </w:pPr>
      <w:rPr>
        <w:rFonts w:ascii="Times New Roman" w:hAnsi="Times New Roman" w:hint="default"/>
        <w:b w:val="0"/>
        <w:i w:val="0"/>
        <w:sz w:val="20"/>
      </w:rPr>
    </w:lvl>
    <w:lvl w:ilvl="6">
      <w:start w:val="1"/>
      <w:numFmt w:val="upperLetter"/>
      <w:lvlText w:val="%7."/>
      <w:lvlJc w:val="left"/>
      <w:pPr>
        <w:ind w:left="5040" w:hanging="720"/>
      </w:pPr>
      <w:rPr>
        <w:rFonts w:ascii="Times New Roman" w:hAnsi="Times New Roman" w:hint="default"/>
        <w:b w:val="0"/>
        <w:i w:val="0"/>
        <w:color w:val="auto"/>
        <w:sz w:val="20"/>
      </w:rPr>
    </w:lvl>
    <w:lvl w:ilvl="7">
      <w:start w:val="1"/>
      <w:numFmt w:val="bullet"/>
      <w:lvlText w:val=""/>
      <w:lvlJc w:val="left"/>
      <w:pPr>
        <w:ind w:left="5760" w:hanging="720"/>
      </w:pPr>
      <w:rPr>
        <w:rFonts w:ascii="Symbol" w:hAnsi="Symbol" w:hint="default"/>
        <w:b w:val="0"/>
        <w:i w:val="0"/>
        <w:color w:val="auto"/>
        <w:sz w:val="20"/>
      </w:rPr>
    </w:lvl>
    <w:lvl w:ilvl="8">
      <w:start w:val="1"/>
      <w:numFmt w:val="bullet"/>
      <w:lvlText w:val=""/>
      <w:lvlJc w:val="left"/>
      <w:pPr>
        <w:ind w:left="6480" w:hanging="720"/>
      </w:pPr>
      <w:rPr>
        <w:rFonts w:ascii="Symbol" w:hAnsi="Symbol" w:hint="default"/>
        <w:b w:val="0"/>
        <w:i w:val="0"/>
        <w:color w:val="auto"/>
        <w:sz w:val="20"/>
      </w:rPr>
    </w:lvl>
  </w:abstractNum>
  <w:abstractNum w:abstractNumId="12" w15:restartNumberingAfterBreak="0">
    <w:nsid w:val="595F61DD"/>
    <w:multiLevelType w:val="multilevel"/>
    <w:tmpl w:val="68783C9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0D920B1"/>
    <w:multiLevelType w:val="hybridMultilevel"/>
    <w:tmpl w:val="C292D512"/>
    <w:lvl w:ilvl="0" w:tplc="B8E6D890">
      <w:start w:val="1"/>
      <w:numFmt w:val="lowerLetter"/>
      <w:lvlText w:val="%1."/>
      <w:lvlJc w:val="left"/>
      <w:pPr>
        <w:ind w:left="810" w:hanging="360"/>
      </w:pPr>
      <w:rPr>
        <w:rFonts w:ascii="Times New Roman" w:hAnsi="Times New Roman" w:hint="default"/>
        <w:b/>
        <w:sz w:val="20"/>
        <w:szCs w:val="2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CA000FC"/>
    <w:multiLevelType w:val="hybridMultilevel"/>
    <w:tmpl w:val="4C548540"/>
    <w:lvl w:ilvl="0" w:tplc="72CA40D0">
      <w:start w:val="1"/>
      <w:numFmt w:val="lowerLetter"/>
      <w:lvlText w:val="%1."/>
      <w:lvlJc w:val="left"/>
      <w:pPr>
        <w:ind w:left="3240" w:hanging="360"/>
      </w:pPr>
      <w:rPr>
        <w:rFonts w:ascii="Times New Roman" w:hAnsi="Times New Roman" w:hint="default"/>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D8A1F07"/>
    <w:multiLevelType w:val="hybridMultilevel"/>
    <w:tmpl w:val="0BC28304"/>
    <w:lvl w:ilvl="0" w:tplc="95F08BA0">
      <w:start w:val="1"/>
      <w:numFmt w:val="lowerLetter"/>
      <w:lvlText w:val="%1."/>
      <w:lvlJc w:val="left"/>
      <w:pPr>
        <w:ind w:left="3240" w:hanging="360"/>
      </w:pPr>
      <w:rPr>
        <w:rFonts w:ascii="Times New Roman" w:hAnsi="Times New Roman" w:hint="default"/>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553032926">
    <w:abstractNumId w:val="9"/>
  </w:num>
  <w:num w:numId="2" w16cid:durableId="1352603435">
    <w:abstractNumId w:val="14"/>
  </w:num>
  <w:num w:numId="3" w16cid:durableId="1842500877">
    <w:abstractNumId w:val="15"/>
  </w:num>
  <w:num w:numId="4" w16cid:durableId="299268032">
    <w:abstractNumId w:val="0"/>
  </w:num>
  <w:num w:numId="5" w16cid:durableId="1320884926">
    <w:abstractNumId w:val="13"/>
  </w:num>
  <w:num w:numId="6" w16cid:durableId="234751522">
    <w:abstractNumId w:val="1"/>
  </w:num>
  <w:num w:numId="7" w16cid:durableId="996034583">
    <w:abstractNumId w:val="2"/>
  </w:num>
  <w:num w:numId="8" w16cid:durableId="1780836933">
    <w:abstractNumId w:val="8"/>
  </w:num>
  <w:num w:numId="9" w16cid:durableId="1903323784">
    <w:abstractNumId w:val="5"/>
  </w:num>
  <w:num w:numId="10" w16cid:durableId="1247926">
    <w:abstractNumId w:val="7"/>
  </w:num>
  <w:num w:numId="11" w16cid:durableId="659845131">
    <w:abstractNumId w:val="6"/>
  </w:num>
  <w:num w:numId="12" w16cid:durableId="2075161057">
    <w:abstractNumId w:val="12"/>
  </w:num>
  <w:num w:numId="13" w16cid:durableId="935526839">
    <w:abstractNumId w:val="3"/>
  </w:num>
  <w:num w:numId="14" w16cid:durableId="1379818104">
    <w:abstractNumId w:val="11"/>
  </w:num>
  <w:num w:numId="15" w16cid:durableId="570771944">
    <w:abstractNumId w:val="4"/>
  </w:num>
  <w:num w:numId="16" w16cid:durableId="1389501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78"/>
    <w:rsid w:val="00024A4C"/>
    <w:rsid w:val="00025D3B"/>
    <w:rsid w:val="00076CB9"/>
    <w:rsid w:val="000C41FC"/>
    <w:rsid w:val="000D12C7"/>
    <w:rsid w:val="001271DB"/>
    <w:rsid w:val="00134941"/>
    <w:rsid w:val="00140B21"/>
    <w:rsid w:val="00155322"/>
    <w:rsid w:val="001A00D6"/>
    <w:rsid w:val="001B4274"/>
    <w:rsid w:val="001B6DC6"/>
    <w:rsid w:val="001D529F"/>
    <w:rsid w:val="001E09C5"/>
    <w:rsid w:val="001E7124"/>
    <w:rsid w:val="001F2D8A"/>
    <w:rsid w:val="00207086"/>
    <w:rsid w:val="00230970"/>
    <w:rsid w:val="00285E47"/>
    <w:rsid w:val="0029084F"/>
    <w:rsid w:val="00296CFF"/>
    <w:rsid w:val="002B454F"/>
    <w:rsid w:val="002C3A60"/>
    <w:rsid w:val="002D2BBB"/>
    <w:rsid w:val="002E421C"/>
    <w:rsid w:val="002F6368"/>
    <w:rsid w:val="0030516E"/>
    <w:rsid w:val="0030638E"/>
    <w:rsid w:val="00332F6B"/>
    <w:rsid w:val="00396DEE"/>
    <w:rsid w:val="003E55B1"/>
    <w:rsid w:val="003E69D1"/>
    <w:rsid w:val="00494107"/>
    <w:rsid w:val="004C29CB"/>
    <w:rsid w:val="004C45CE"/>
    <w:rsid w:val="004E70B9"/>
    <w:rsid w:val="004F28D4"/>
    <w:rsid w:val="0050364E"/>
    <w:rsid w:val="00515B41"/>
    <w:rsid w:val="00531249"/>
    <w:rsid w:val="00534959"/>
    <w:rsid w:val="00537FFE"/>
    <w:rsid w:val="005421F0"/>
    <w:rsid w:val="005520E7"/>
    <w:rsid w:val="00552F7E"/>
    <w:rsid w:val="00572808"/>
    <w:rsid w:val="00583FE4"/>
    <w:rsid w:val="00585833"/>
    <w:rsid w:val="005D5485"/>
    <w:rsid w:val="005E1A74"/>
    <w:rsid w:val="005F194A"/>
    <w:rsid w:val="006046D7"/>
    <w:rsid w:val="00610B13"/>
    <w:rsid w:val="006363AE"/>
    <w:rsid w:val="006A16B3"/>
    <w:rsid w:val="006D1633"/>
    <w:rsid w:val="006E4731"/>
    <w:rsid w:val="006E6A50"/>
    <w:rsid w:val="006F4742"/>
    <w:rsid w:val="00744655"/>
    <w:rsid w:val="0074594E"/>
    <w:rsid w:val="00762603"/>
    <w:rsid w:val="007A0947"/>
    <w:rsid w:val="007E0217"/>
    <w:rsid w:val="007E3AA4"/>
    <w:rsid w:val="007F6F22"/>
    <w:rsid w:val="00810994"/>
    <w:rsid w:val="00830F86"/>
    <w:rsid w:val="00851613"/>
    <w:rsid w:val="00866993"/>
    <w:rsid w:val="008A2AF6"/>
    <w:rsid w:val="008B5909"/>
    <w:rsid w:val="008E4018"/>
    <w:rsid w:val="00900E1D"/>
    <w:rsid w:val="00901A50"/>
    <w:rsid w:val="00924226"/>
    <w:rsid w:val="00926D3F"/>
    <w:rsid w:val="00937400"/>
    <w:rsid w:val="00952166"/>
    <w:rsid w:val="00953DB7"/>
    <w:rsid w:val="00995C4B"/>
    <w:rsid w:val="009B0F2E"/>
    <w:rsid w:val="009B638A"/>
    <w:rsid w:val="009B7A04"/>
    <w:rsid w:val="009D5E87"/>
    <w:rsid w:val="009E7C50"/>
    <w:rsid w:val="009F6165"/>
    <w:rsid w:val="00A1569B"/>
    <w:rsid w:val="00A16BB2"/>
    <w:rsid w:val="00A232B4"/>
    <w:rsid w:val="00A233EE"/>
    <w:rsid w:val="00A26D96"/>
    <w:rsid w:val="00A56FB9"/>
    <w:rsid w:val="00A62B6C"/>
    <w:rsid w:val="00A85869"/>
    <w:rsid w:val="00AA0D4A"/>
    <w:rsid w:val="00AA3A6E"/>
    <w:rsid w:val="00AA5486"/>
    <w:rsid w:val="00AA7996"/>
    <w:rsid w:val="00AB7DA3"/>
    <w:rsid w:val="00AC4CB7"/>
    <w:rsid w:val="00AC5F75"/>
    <w:rsid w:val="00AD1AE4"/>
    <w:rsid w:val="00AD5C55"/>
    <w:rsid w:val="00AF7472"/>
    <w:rsid w:val="00B06A91"/>
    <w:rsid w:val="00B20585"/>
    <w:rsid w:val="00B26571"/>
    <w:rsid w:val="00B40FA1"/>
    <w:rsid w:val="00BF0862"/>
    <w:rsid w:val="00BF259F"/>
    <w:rsid w:val="00BF4545"/>
    <w:rsid w:val="00C144FF"/>
    <w:rsid w:val="00C1690C"/>
    <w:rsid w:val="00C376B4"/>
    <w:rsid w:val="00C4582D"/>
    <w:rsid w:val="00C740E7"/>
    <w:rsid w:val="00C91611"/>
    <w:rsid w:val="00D40989"/>
    <w:rsid w:val="00D623CA"/>
    <w:rsid w:val="00DB05F0"/>
    <w:rsid w:val="00DC0DE4"/>
    <w:rsid w:val="00DE0C8E"/>
    <w:rsid w:val="00DE3578"/>
    <w:rsid w:val="00E06665"/>
    <w:rsid w:val="00E42431"/>
    <w:rsid w:val="00E46B44"/>
    <w:rsid w:val="00E53175"/>
    <w:rsid w:val="00E5529D"/>
    <w:rsid w:val="00E636F9"/>
    <w:rsid w:val="00E7208E"/>
    <w:rsid w:val="00E74336"/>
    <w:rsid w:val="00E75689"/>
    <w:rsid w:val="00E8081D"/>
    <w:rsid w:val="00E911B3"/>
    <w:rsid w:val="00EB53CA"/>
    <w:rsid w:val="00EB67CA"/>
    <w:rsid w:val="00EC6E9D"/>
    <w:rsid w:val="00EE4E14"/>
    <w:rsid w:val="00F01E55"/>
    <w:rsid w:val="00F03378"/>
    <w:rsid w:val="00F06A0E"/>
    <w:rsid w:val="00F1035D"/>
    <w:rsid w:val="00F43755"/>
    <w:rsid w:val="00F51B4C"/>
    <w:rsid w:val="00F548FF"/>
    <w:rsid w:val="00FB06FA"/>
    <w:rsid w:val="00FB2F87"/>
    <w:rsid w:val="00FD12DC"/>
    <w:rsid w:val="00FF11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6809"/>
  <w15:docId w15:val="{09559FE9-5EE3-4A41-8E47-8DF10859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78"/>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6C"/>
    <w:pPr>
      <w:ind w:left="720"/>
      <w:contextualSpacing/>
    </w:pPr>
  </w:style>
  <w:style w:type="paragraph" w:styleId="Header">
    <w:name w:val="header"/>
    <w:basedOn w:val="Normal"/>
    <w:link w:val="HeaderChar"/>
    <w:uiPriority w:val="99"/>
    <w:unhideWhenUsed/>
    <w:rsid w:val="00C45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82D"/>
    <w:rPr>
      <w:rFonts w:asciiTheme="minorHAnsi" w:eastAsiaTheme="minorEastAsia" w:hAnsiTheme="minorHAnsi"/>
    </w:rPr>
  </w:style>
  <w:style w:type="paragraph" w:styleId="Footer">
    <w:name w:val="footer"/>
    <w:basedOn w:val="Normal"/>
    <w:link w:val="FooterChar"/>
    <w:uiPriority w:val="99"/>
    <w:unhideWhenUsed/>
    <w:rsid w:val="00C45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82D"/>
    <w:rPr>
      <w:rFonts w:asciiTheme="minorHAnsi" w:eastAsiaTheme="minorEastAsia" w:hAnsiTheme="minorHAnsi"/>
    </w:rPr>
  </w:style>
  <w:style w:type="paragraph" w:styleId="BalloonText">
    <w:name w:val="Balloon Text"/>
    <w:basedOn w:val="Normal"/>
    <w:link w:val="BalloonTextChar"/>
    <w:uiPriority w:val="99"/>
    <w:semiHidden/>
    <w:unhideWhenUsed/>
    <w:rsid w:val="00C45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82D"/>
    <w:rPr>
      <w:rFonts w:ascii="Tahoma" w:eastAsiaTheme="minorEastAsia" w:hAnsi="Tahoma" w:cs="Tahoma"/>
      <w:sz w:val="16"/>
      <w:szCs w:val="16"/>
    </w:rPr>
  </w:style>
  <w:style w:type="paragraph" w:styleId="BodyTextIndent2">
    <w:name w:val="Body Text Indent 2"/>
    <w:basedOn w:val="Normal"/>
    <w:link w:val="BodyTextIndent2Char"/>
    <w:rsid w:val="0081099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10994"/>
    <w:rPr>
      <w:rFonts w:ascii="Times New Roman" w:eastAsia="Times New Roman" w:hAnsi="Times New Roman" w:cs="Times New Roman"/>
      <w:sz w:val="24"/>
      <w:szCs w:val="24"/>
    </w:rPr>
  </w:style>
  <w:style w:type="paragraph" w:customStyle="1" w:styleId="Tabletext">
    <w:name w:val="Table text"/>
    <w:basedOn w:val="Normal"/>
    <w:rsid w:val="00E46B44"/>
    <w:pPr>
      <w:spacing w:before="80" w:after="80" w:line="240" w:lineRule="auto"/>
    </w:pPr>
    <w:rPr>
      <w:rFonts w:ascii="Georgia" w:eastAsia="Times New Roman" w:hAnsi="Georgia" w:cs="Times New Roman"/>
      <w:sz w:val="18"/>
      <w:szCs w:val="20"/>
    </w:rPr>
  </w:style>
  <w:style w:type="paragraph" w:customStyle="1" w:styleId="Tabletextbold">
    <w:name w:val="Table text bold"/>
    <w:basedOn w:val="Tabletext"/>
    <w:rsid w:val="00E46B44"/>
    <w:rPr>
      <w:b/>
      <w:bCs/>
    </w:rPr>
  </w:style>
  <w:style w:type="paragraph" w:customStyle="1" w:styleId="TableheaderVerdana">
    <w:name w:val="Table header Verdana"/>
    <w:basedOn w:val="Tabletext"/>
    <w:rsid w:val="00E46B44"/>
    <w:pPr>
      <w:spacing w:before="40" w:after="40"/>
    </w:pPr>
    <w:rPr>
      <w:rFonts w:ascii="Verdana" w:hAnsi="Verdana"/>
      <w:b/>
      <w:color w:val="FFFFFF"/>
    </w:rPr>
  </w:style>
  <w:style w:type="table" w:styleId="TableGrid">
    <w:name w:val="Table Grid"/>
    <w:basedOn w:val="TableNormal"/>
    <w:uiPriority w:val="59"/>
    <w:rsid w:val="00E4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55B1"/>
    <w:rPr>
      <w:sz w:val="16"/>
      <w:szCs w:val="16"/>
    </w:rPr>
  </w:style>
  <w:style w:type="paragraph" w:styleId="CommentText">
    <w:name w:val="annotation text"/>
    <w:basedOn w:val="Normal"/>
    <w:link w:val="CommentTextChar"/>
    <w:uiPriority w:val="99"/>
    <w:unhideWhenUsed/>
    <w:rsid w:val="003E55B1"/>
    <w:pPr>
      <w:spacing w:line="240" w:lineRule="auto"/>
    </w:pPr>
    <w:rPr>
      <w:sz w:val="20"/>
      <w:szCs w:val="20"/>
    </w:rPr>
  </w:style>
  <w:style w:type="character" w:customStyle="1" w:styleId="CommentTextChar">
    <w:name w:val="Comment Text Char"/>
    <w:basedOn w:val="DefaultParagraphFont"/>
    <w:link w:val="CommentText"/>
    <w:uiPriority w:val="99"/>
    <w:rsid w:val="003E55B1"/>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3E55B1"/>
    <w:rPr>
      <w:b/>
      <w:bCs/>
    </w:rPr>
  </w:style>
  <w:style w:type="character" w:customStyle="1" w:styleId="CommentSubjectChar">
    <w:name w:val="Comment Subject Char"/>
    <w:basedOn w:val="CommentTextChar"/>
    <w:link w:val="CommentSubject"/>
    <w:uiPriority w:val="99"/>
    <w:semiHidden/>
    <w:rsid w:val="003E55B1"/>
    <w:rPr>
      <w:rFonts w:asciiTheme="minorHAnsi" w:eastAsiaTheme="minorEastAsia" w:hAnsiTheme="minorHAnsi"/>
      <w:b/>
      <w:bCs/>
      <w:sz w:val="20"/>
      <w:szCs w:val="20"/>
    </w:rPr>
  </w:style>
  <w:style w:type="character" w:styleId="Hyperlink">
    <w:name w:val="Hyperlink"/>
    <w:basedOn w:val="DefaultParagraphFont"/>
    <w:uiPriority w:val="99"/>
    <w:unhideWhenUsed/>
    <w:rsid w:val="00E06665"/>
    <w:rPr>
      <w:color w:val="0000FF" w:themeColor="hyperlink"/>
      <w:u w:val="single"/>
    </w:rPr>
  </w:style>
  <w:style w:type="paragraph" w:styleId="Revision">
    <w:name w:val="Revision"/>
    <w:hidden/>
    <w:uiPriority w:val="99"/>
    <w:semiHidden/>
    <w:rsid w:val="002F6368"/>
    <w:pPr>
      <w:spacing w:after="0" w:line="240" w:lineRule="auto"/>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documents/jbcl-manu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1757-53A3-4F4F-949E-69FF0FB0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2108</Words>
  <Characters>12418</Characters>
  <Application>Microsoft Office Word</Application>
  <DocSecurity>0</DocSecurity>
  <Lines>206</Lines>
  <Paragraphs>91</Paragraphs>
  <ScaleCrop>false</ScaleCrop>
  <HeadingPairs>
    <vt:vector size="2" baseType="variant">
      <vt:variant>
        <vt:lpstr>Title</vt:lpstr>
      </vt:variant>
      <vt:variant>
        <vt:i4>1</vt:i4>
      </vt:variant>
    </vt:vector>
  </HeadingPairs>
  <TitlesOfParts>
    <vt:vector size="1" baseType="lpstr">
      <vt:lpstr/>
    </vt:vector>
  </TitlesOfParts>
  <Company>County of San Bernardino</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Abesa, Maria</dc:creator>
  <cp:lastModifiedBy>Zamora, Susana</cp:lastModifiedBy>
  <cp:revision>6</cp:revision>
  <cp:lastPrinted>2019-01-16T01:38:00Z</cp:lastPrinted>
  <dcterms:created xsi:type="dcterms:W3CDTF">2026-02-10T22:46:00Z</dcterms:created>
  <dcterms:modified xsi:type="dcterms:W3CDTF">2026-02-11T18:39:00Z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8dfd4c72-af68-42ba-bb3b-4edda4905acf</vt:lpwstr>
  </property>
</Properties>
</file>