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82454" w14:textId="4310CE1A" w:rsidR="004851D0" w:rsidRPr="004851D0" w:rsidRDefault="004851D0" w:rsidP="004851D0">
      <w:pPr>
        <w:jc w:val="center"/>
        <w:rPr>
          <w:b/>
          <w:bCs/>
          <w:u w:val="single"/>
        </w:rPr>
      </w:pPr>
      <w:r w:rsidRPr="004851D0">
        <w:rPr>
          <w:b/>
          <w:bCs/>
          <w:u w:val="single"/>
        </w:rPr>
        <w:t>TRIAL REQUIREMENTS FOR DEPARTMENT V1</w:t>
      </w:r>
      <w:r w:rsidR="00BD6989">
        <w:rPr>
          <w:b/>
          <w:bCs/>
          <w:u w:val="single"/>
        </w:rPr>
        <w:t>2</w:t>
      </w:r>
    </w:p>
    <w:p w14:paraId="4BC655D3" w14:textId="348DEA9A" w:rsidR="004851D0" w:rsidRPr="004851D0" w:rsidRDefault="004851D0" w:rsidP="004851D0">
      <w:pPr>
        <w:jc w:val="center"/>
        <w:rPr>
          <w:i/>
          <w:iCs/>
          <w:sz w:val="20"/>
          <w:szCs w:val="20"/>
        </w:rPr>
      </w:pPr>
      <w:r w:rsidRPr="004851D0">
        <w:rPr>
          <w:b/>
          <w:bCs/>
          <w:i/>
          <w:iCs/>
          <w:sz w:val="20"/>
          <w:szCs w:val="20"/>
        </w:rPr>
        <w:t xml:space="preserve">*** Litigants are required to provide one court reporter, at their own expense, for the duration of trial—commencing at the Readiness Calendar and continuing through the verdict—for each day the matter is in </w:t>
      </w:r>
      <w:proofErr w:type="gramStart"/>
      <w:r w:rsidRPr="004851D0">
        <w:rPr>
          <w:b/>
          <w:bCs/>
          <w:i/>
          <w:iCs/>
          <w:sz w:val="20"/>
          <w:szCs w:val="20"/>
        </w:rPr>
        <w:t>trial.*</w:t>
      </w:r>
      <w:proofErr w:type="gramEnd"/>
      <w:r w:rsidRPr="004851D0">
        <w:rPr>
          <w:b/>
          <w:bCs/>
          <w:i/>
          <w:iCs/>
          <w:sz w:val="20"/>
          <w:szCs w:val="20"/>
        </w:rPr>
        <w:t>**</w:t>
      </w:r>
    </w:p>
    <w:p w14:paraId="12D7590B" w14:textId="77777777" w:rsidR="004851D0" w:rsidRPr="004851D0" w:rsidRDefault="004851D0" w:rsidP="004851D0">
      <w:pPr>
        <w:rPr>
          <w:b/>
          <w:bCs/>
          <w:sz w:val="22"/>
          <w:szCs w:val="22"/>
        </w:rPr>
      </w:pPr>
      <w:r w:rsidRPr="004851D0">
        <w:rPr>
          <w:b/>
          <w:bCs/>
          <w:sz w:val="22"/>
          <w:szCs w:val="22"/>
        </w:rPr>
        <w:t>Required documents to be presented to the Court at the Readiness Calendar, with service on opposing counsel pursuant to statute:</w:t>
      </w:r>
    </w:p>
    <w:p w14:paraId="6A7FC938" w14:textId="77777777" w:rsidR="004851D0" w:rsidRPr="004851D0" w:rsidRDefault="004851D0" w:rsidP="004851D0">
      <w:pPr>
        <w:numPr>
          <w:ilvl w:val="0"/>
          <w:numId w:val="2"/>
        </w:numPr>
        <w:rPr>
          <w:sz w:val="20"/>
          <w:szCs w:val="20"/>
        </w:rPr>
      </w:pPr>
      <w:r w:rsidRPr="004851D0">
        <w:rPr>
          <w:b/>
          <w:bCs/>
          <w:sz w:val="20"/>
          <w:szCs w:val="20"/>
        </w:rPr>
        <w:t>Motions in Limine</w:t>
      </w:r>
      <w:r w:rsidRPr="004851D0">
        <w:rPr>
          <w:sz w:val="20"/>
          <w:szCs w:val="20"/>
        </w:rPr>
        <w:t>, if any, in writing.</w:t>
      </w:r>
      <w:r w:rsidRPr="004851D0">
        <w:rPr>
          <w:sz w:val="20"/>
          <w:szCs w:val="20"/>
        </w:rPr>
        <w:br/>
      </w:r>
      <w:r w:rsidRPr="004851D0">
        <w:rPr>
          <w:i/>
          <w:iCs/>
          <w:sz w:val="20"/>
          <w:szCs w:val="20"/>
        </w:rPr>
        <w:t>(See</w:t>
      </w:r>
      <w:r w:rsidRPr="004851D0">
        <w:rPr>
          <w:sz w:val="20"/>
          <w:szCs w:val="20"/>
        </w:rPr>
        <w:t xml:space="preserve"> Kelly v. New West Financial Services, </w:t>
      </w:r>
      <w:r w:rsidRPr="004851D0">
        <w:rPr>
          <w:i/>
          <w:iCs/>
          <w:sz w:val="20"/>
          <w:szCs w:val="20"/>
        </w:rPr>
        <w:t>49 Cal.App.4th 659.)</w:t>
      </w:r>
    </w:p>
    <w:p w14:paraId="43575B76" w14:textId="77777777" w:rsidR="004851D0" w:rsidRPr="004851D0" w:rsidRDefault="004851D0" w:rsidP="004851D0">
      <w:pPr>
        <w:numPr>
          <w:ilvl w:val="0"/>
          <w:numId w:val="2"/>
        </w:numPr>
        <w:rPr>
          <w:sz w:val="20"/>
          <w:szCs w:val="20"/>
        </w:rPr>
      </w:pPr>
      <w:r w:rsidRPr="004851D0">
        <w:rPr>
          <w:sz w:val="20"/>
          <w:szCs w:val="20"/>
        </w:rPr>
        <w:t xml:space="preserve">A complete </w:t>
      </w:r>
      <w:r w:rsidRPr="004851D0">
        <w:rPr>
          <w:b/>
          <w:bCs/>
          <w:sz w:val="20"/>
          <w:szCs w:val="20"/>
        </w:rPr>
        <w:t>JOINT witness list</w:t>
      </w:r>
      <w:r w:rsidRPr="004851D0">
        <w:rPr>
          <w:sz w:val="20"/>
          <w:szCs w:val="20"/>
        </w:rPr>
        <w:t>.</w:t>
      </w:r>
    </w:p>
    <w:p w14:paraId="095C89D9" w14:textId="77777777" w:rsidR="004851D0" w:rsidRPr="004851D0" w:rsidRDefault="004851D0" w:rsidP="004851D0">
      <w:pPr>
        <w:numPr>
          <w:ilvl w:val="0"/>
          <w:numId w:val="2"/>
        </w:numPr>
        <w:rPr>
          <w:sz w:val="20"/>
          <w:szCs w:val="20"/>
        </w:rPr>
      </w:pPr>
      <w:r w:rsidRPr="004851D0">
        <w:rPr>
          <w:b/>
          <w:bCs/>
          <w:sz w:val="20"/>
          <w:szCs w:val="20"/>
        </w:rPr>
        <w:t>All exhibits shall be CONJOINT.</w:t>
      </w:r>
      <w:r w:rsidRPr="004851D0">
        <w:rPr>
          <w:sz w:val="20"/>
          <w:szCs w:val="20"/>
        </w:rPr>
        <w:t xml:space="preserve"> This is a significant change and requires a meaningful </w:t>
      </w:r>
      <w:proofErr w:type="gramStart"/>
      <w:r w:rsidRPr="004851D0">
        <w:rPr>
          <w:sz w:val="20"/>
          <w:szCs w:val="20"/>
        </w:rPr>
        <w:t>meet</w:t>
      </w:r>
      <w:proofErr w:type="gramEnd"/>
      <w:r w:rsidRPr="004851D0">
        <w:rPr>
          <w:sz w:val="20"/>
          <w:szCs w:val="20"/>
        </w:rPr>
        <w:t xml:space="preserve"> and confer.</w:t>
      </w:r>
    </w:p>
    <w:p w14:paraId="3E21045A" w14:textId="77777777" w:rsidR="004851D0" w:rsidRPr="004851D0" w:rsidRDefault="004851D0" w:rsidP="004851D0">
      <w:pPr>
        <w:numPr>
          <w:ilvl w:val="1"/>
          <w:numId w:val="2"/>
        </w:numPr>
        <w:spacing w:after="0"/>
        <w:rPr>
          <w:sz w:val="20"/>
          <w:szCs w:val="20"/>
        </w:rPr>
      </w:pPr>
      <w:r w:rsidRPr="004851D0">
        <w:rPr>
          <w:sz w:val="20"/>
          <w:szCs w:val="20"/>
        </w:rPr>
        <w:t>Exhibits shall be numbered consecutively, beginning with Exhibit 1 and continuing through conclusion, with no duplicate exhibits.</w:t>
      </w:r>
    </w:p>
    <w:p w14:paraId="13B0C538" w14:textId="77777777" w:rsidR="004851D0" w:rsidRPr="004851D0" w:rsidRDefault="004851D0" w:rsidP="004851D0">
      <w:pPr>
        <w:numPr>
          <w:ilvl w:val="1"/>
          <w:numId w:val="2"/>
        </w:numPr>
        <w:spacing w:after="0"/>
        <w:rPr>
          <w:sz w:val="20"/>
          <w:szCs w:val="20"/>
        </w:rPr>
      </w:pPr>
      <w:r w:rsidRPr="004851D0">
        <w:rPr>
          <w:sz w:val="20"/>
          <w:szCs w:val="20"/>
        </w:rPr>
        <w:t>One unified exhibit set shall be submitted:</w:t>
      </w:r>
    </w:p>
    <w:p w14:paraId="7F8AA49F" w14:textId="77777777" w:rsidR="004851D0" w:rsidRPr="004851D0" w:rsidRDefault="004851D0" w:rsidP="004851D0">
      <w:pPr>
        <w:numPr>
          <w:ilvl w:val="2"/>
          <w:numId w:val="2"/>
        </w:numPr>
        <w:spacing w:after="0"/>
        <w:rPr>
          <w:sz w:val="20"/>
          <w:szCs w:val="20"/>
        </w:rPr>
      </w:pPr>
      <w:r w:rsidRPr="004851D0">
        <w:rPr>
          <w:sz w:val="20"/>
          <w:szCs w:val="20"/>
        </w:rPr>
        <w:t>Original for the Clerk</w:t>
      </w:r>
    </w:p>
    <w:p w14:paraId="04DA5935" w14:textId="77777777" w:rsidR="004851D0" w:rsidRPr="004851D0" w:rsidRDefault="004851D0" w:rsidP="004851D0">
      <w:pPr>
        <w:numPr>
          <w:ilvl w:val="2"/>
          <w:numId w:val="2"/>
        </w:numPr>
        <w:spacing w:after="0"/>
        <w:rPr>
          <w:sz w:val="20"/>
          <w:szCs w:val="20"/>
        </w:rPr>
      </w:pPr>
      <w:r w:rsidRPr="004851D0">
        <w:rPr>
          <w:sz w:val="20"/>
          <w:szCs w:val="20"/>
        </w:rPr>
        <w:t>One copy for the witness stand</w:t>
      </w:r>
    </w:p>
    <w:p w14:paraId="479CFA07" w14:textId="77777777" w:rsidR="004851D0" w:rsidRPr="004851D0" w:rsidRDefault="004851D0" w:rsidP="004851D0">
      <w:pPr>
        <w:numPr>
          <w:ilvl w:val="2"/>
          <w:numId w:val="2"/>
        </w:numPr>
        <w:spacing w:after="0"/>
        <w:rPr>
          <w:sz w:val="20"/>
          <w:szCs w:val="20"/>
        </w:rPr>
      </w:pPr>
      <w:r w:rsidRPr="004851D0">
        <w:rPr>
          <w:sz w:val="20"/>
          <w:szCs w:val="20"/>
        </w:rPr>
        <w:t>One copy for the bench</w:t>
      </w:r>
    </w:p>
    <w:p w14:paraId="6C30CC16" w14:textId="77777777" w:rsidR="004851D0" w:rsidRPr="004851D0" w:rsidRDefault="004851D0" w:rsidP="004851D0">
      <w:pPr>
        <w:numPr>
          <w:ilvl w:val="0"/>
          <w:numId w:val="2"/>
        </w:numPr>
        <w:rPr>
          <w:sz w:val="20"/>
          <w:szCs w:val="20"/>
        </w:rPr>
      </w:pPr>
      <w:r w:rsidRPr="004851D0">
        <w:rPr>
          <w:sz w:val="20"/>
          <w:szCs w:val="20"/>
        </w:rPr>
        <w:t xml:space="preserve">A </w:t>
      </w:r>
      <w:r w:rsidRPr="004851D0">
        <w:rPr>
          <w:b/>
          <w:bCs/>
          <w:sz w:val="20"/>
          <w:szCs w:val="20"/>
        </w:rPr>
        <w:t>JOINT statement of the case</w:t>
      </w:r>
      <w:r w:rsidRPr="004851D0">
        <w:rPr>
          <w:sz w:val="20"/>
          <w:szCs w:val="20"/>
        </w:rPr>
        <w:t>.</w:t>
      </w:r>
    </w:p>
    <w:p w14:paraId="27125743" w14:textId="77777777" w:rsidR="004851D0" w:rsidRPr="004851D0" w:rsidRDefault="004851D0" w:rsidP="004851D0">
      <w:pPr>
        <w:numPr>
          <w:ilvl w:val="0"/>
          <w:numId w:val="2"/>
        </w:numPr>
        <w:rPr>
          <w:sz w:val="20"/>
          <w:szCs w:val="20"/>
        </w:rPr>
      </w:pPr>
      <w:r w:rsidRPr="004851D0">
        <w:rPr>
          <w:b/>
          <w:bCs/>
          <w:sz w:val="20"/>
          <w:szCs w:val="20"/>
        </w:rPr>
        <w:t>Jury instructions and verdict form</w:t>
      </w:r>
      <w:r w:rsidRPr="004851D0">
        <w:rPr>
          <w:sz w:val="20"/>
          <w:szCs w:val="20"/>
        </w:rPr>
        <w:t>:</w:t>
      </w:r>
    </w:p>
    <w:p w14:paraId="05AA7524" w14:textId="77777777" w:rsidR="004851D0" w:rsidRPr="004851D0" w:rsidRDefault="004851D0" w:rsidP="004851D0">
      <w:pPr>
        <w:numPr>
          <w:ilvl w:val="1"/>
          <w:numId w:val="2"/>
        </w:numPr>
        <w:spacing w:after="0"/>
        <w:rPr>
          <w:sz w:val="20"/>
          <w:szCs w:val="20"/>
        </w:rPr>
      </w:pPr>
      <w:r w:rsidRPr="004851D0">
        <w:rPr>
          <w:sz w:val="20"/>
          <w:szCs w:val="20"/>
        </w:rPr>
        <w:t xml:space="preserve">Jury instructions must be provided in </w:t>
      </w:r>
      <w:r w:rsidRPr="004851D0">
        <w:rPr>
          <w:b/>
          <w:bCs/>
          <w:sz w:val="20"/>
          <w:szCs w:val="20"/>
        </w:rPr>
        <w:t>two separate packets</w:t>
      </w:r>
      <w:r w:rsidRPr="004851D0">
        <w:rPr>
          <w:sz w:val="20"/>
          <w:szCs w:val="20"/>
        </w:rPr>
        <w:t>:</w:t>
      </w:r>
    </w:p>
    <w:p w14:paraId="775CAAB6" w14:textId="77777777" w:rsidR="004851D0" w:rsidRPr="004851D0" w:rsidRDefault="004851D0" w:rsidP="004851D0">
      <w:pPr>
        <w:numPr>
          <w:ilvl w:val="2"/>
          <w:numId w:val="2"/>
        </w:numPr>
        <w:spacing w:after="0"/>
        <w:rPr>
          <w:sz w:val="20"/>
          <w:szCs w:val="20"/>
        </w:rPr>
      </w:pPr>
      <w:r w:rsidRPr="004851D0">
        <w:rPr>
          <w:sz w:val="20"/>
          <w:szCs w:val="20"/>
        </w:rPr>
        <w:t>Packet One: CACI 100 series and 200 series</w:t>
      </w:r>
    </w:p>
    <w:p w14:paraId="390DF0A5" w14:textId="77777777" w:rsidR="004851D0" w:rsidRPr="004851D0" w:rsidRDefault="004851D0" w:rsidP="004851D0">
      <w:pPr>
        <w:numPr>
          <w:ilvl w:val="2"/>
          <w:numId w:val="2"/>
        </w:numPr>
        <w:spacing w:after="0"/>
        <w:rPr>
          <w:sz w:val="20"/>
          <w:szCs w:val="20"/>
        </w:rPr>
      </w:pPr>
      <w:r w:rsidRPr="004851D0">
        <w:rPr>
          <w:sz w:val="20"/>
          <w:szCs w:val="20"/>
        </w:rPr>
        <w:t>Packet Two: Starting again at the 200 series through conclusion</w:t>
      </w:r>
    </w:p>
    <w:p w14:paraId="66D5AC67" w14:textId="77777777" w:rsidR="004851D0" w:rsidRPr="004851D0" w:rsidRDefault="004851D0" w:rsidP="004851D0">
      <w:pPr>
        <w:numPr>
          <w:ilvl w:val="1"/>
          <w:numId w:val="2"/>
        </w:numPr>
        <w:spacing w:after="0"/>
        <w:rPr>
          <w:sz w:val="20"/>
          <w:szCs w:val="20"/>
        </w:rPr>
      </w:pPr>
      <w:r w:rsidRPr="004851D0">
        <w:rPr>
          <w:sz w:val="20"/>
          <w:szCs w:val="20"/>
        </w:rPr>
        <w:t xml:space="preserve">Any specially requested instructions must be submitted in </w:t>
      </w:r>
      <w:r w:rsidRPr="004851D0">
        <w:rPr>
          <w:b/>
          <w:bCs/>
          <w:sz w:val="20"/>
          <w:szCs w:val="20"/>
        </w:rPr>
        <w:t>two formats</w:t>
      </w:r>
      <w:r w:rsidRPr="004851D0">
        <w:rPr>
          <w:sz w:val="20"/>
          <w:szCs w:val="20"/>
        </w:rPr>
        <w:t>:</w:t>
      </w:r>
    </w:p>
    <w:p w14:paraId="2E43C9AE" w14:textId="77777777" w:rsidR="004851D0" w:rsidRPr="004851D0" w:rsidRDefault="004851D0" w:rsidP="004851D0">
      <w:pPr>
        <w:numPr>
          <w:ilvl w:val="2"/>
          <w:numId w:val="2"/>
        </w:numPr>
        <w:spacing w:after="0"/>
        <w:rPr>
          <w:sz w:val="20"/>
          <w:szCs w:val="20"/>
        </w:rPr>
      </w:pPr>
      <w:r w:rsidRPr="004851D0">
        <w:rPr>
          <w:sz w:val="20"/>
          <w:szCs w:val="20"/>
        </w:rPr>
        <w:t>A working copy with supporting case or statutory authority</w:t>
      </w:r>
    </w:p>
    <w:p w14:paraId="799CDF04" w14:textId="77777777" w:rsidR="004851D0" w:rsidRPr="004851D0" w:rsidRDefault="004851D0" w:rsidP="004851D0">
      <w:pPr>
        <w:numPr>
          <w:ilvl w:val="2"/>
          <w:numId w:val="2"/>
        </w:numPr>
        <w:spacing w:after="0"/>
        <w:rPr>
          <w:sz w:val="20"/>
          <w:szCs w:val="20"/>
        </w:rPr>
      </w:pPr>
      <w:r w:rsidRPr="004851D0">
        <w:rPr>
          <w:sz w:val="20"/>
          <w:szCs w:val="20"/>
        </w:rPr>
        <w:t>A clean copy in proper CACI format, ready for submission to the jury</w:t>
      </w:r>
    </w:p>
    <w:p w14:paraId="12248F3F" w14:textId="77777777" w:rsidR="004851D0" w:rsidRPr="004851D0" w:rsidRDefault="004851D0" w:rsidP="004851D0">
      <w:pPr>
        <w:numPr>
          <w:ilvl w:val="1"/>
          <w:numId w:val="2"/>
        </w:numPr>
        <w:spacing w:after="0"/>
        <w:rPr>
          <w:sz w:val="20"/>
          <w:szCs w:val="20"/>
        </w:rPr>
      </w:pPr>
      <w:r w:rsidRPr="004851D0">
        <w:rPr>
          <w:sz w:val="20"/>
          <w:szCs w:val="20"/>
        </w:rPr>
        <w:t xml:space="preserve">Each packet of jury instructions and the verdict form must include a </w:t>
      </w:r>
      <w:r w:rsidRPr="004851D0">
        <w:rPr>
          <w:b/>
          <w:bCs/>
          <w:sz w:val="20"/>
          <w:szCs w:val="20"/>
        </w:rPr>
        <w:t>cover sheet</w:t>
      </w:r>
      <w:r w:rsidRPr="004851D0">
        <w:rPr>
          <w:sz w:val="20"/>
          <w:szCs w:val="20"/>
        </w:rPr>
        <w:t xml:space="preserve"> containing only the case caption, with no firm identification, and clearly labeled in bold as either </w:t>
      </w:r>
      <w:r w:rsidRPr="004851D0">
        <w:rPr>
          <w:b/>
          <w:bCs/>
          <w:sz w:val="20"/>
          <w:szCs w:val="20"/>
        </w:rPr>
        <w:t>“JURY INSTRUCTIONS”</w:t>
      </w:r>
      <w:r w:rsidRPr="004851D0">
        <w:rPr>
          <w:sz w:val="20"/>
          <w:szCs w:val="20"/>
        </w:rPr>
        <w:t xml:space="preserve"> or </w:t>
      </w:r>
      <w:r w:rsidRPr="004851D0">
        <w:rPr>
          <w:b/>
          <w:bCs/>
          <w:sz w:val="20"/>
          <w:szCs w:val="20"/>
        </w:rPr>
        <w:t>“VERDICT FORM.”</w:t>
      </w:r>
    </w:p>
    <w:p w14:paraId="1F9821DB" w14:textId="77777777" w:rsidR="004851D0" w:rsidRPr="004851D0" w:rsidRDefault="004851D0" w:rsidP="004851D0">
      <w:pPr>
        <w:numPr>
          <w:ilvl w:val="0"/>
          <w:numId w:val="2"/>
        </w:numPr>
        <w:rPr>
          <w:sz w:val="20"/>
          <w:szCs w:val="20"/>
        </w:rPr>
      </w:pPr>
      <w:r w:rsidRPr="004851D0">
        <w:rPr>
          <w:b/>
          <w:bCs/>
          <w:sz w:val="20"/>
          <w:szCs w:val="20"/>
        </w:rPr>
        <w:t>Depositions must be lodged on the date of Readiness.</w:t>
      </w:r>
      <w:r w:rsidRPr="004851D0">
        <w:rPr>
          <w:sz w:val="20"/>
          <w:szCs w:val="20"/>
        </w:rPr>
        <w:t xml:space="preserve"> Counsel must also be prepared to satisfy any remaining financial obligations, including court reporter and jury fees, on the date of Readiness.</w:t>
      </w:r>
    </w:p>
    <w:p w14:paraId="2A578A5A" w14:textId="77777777" w:rsidR="004851D0" w:rsidRPr="004851D0" w:rsidRDefault="004851D0" w:rsidP="004851D0">
      <w:pPr>
        <w:numPr>
          <w:ilvl w:val="0"/>
          <w:numId w:val="2"/>
        </w:numPr>
        <w:rPr>
          <w:sz w:val="20"/>
          <w:szCs w:val="20"/>
        </w:rPr>
      </w:pPr>
      <w:r w:rsidRPr="004851D0">
        <w:rPr>
          <w:b/>
          <w:bCs/>
          <w:sz w:val="20"/>
          <w:szCs w:val="20"/>
        </w:rPr>
        <w:t>Subpoenaed documents do not automatically come to the courtroom.</w:t>
      </w:r>
      <w:r w:rsidRPr="004851D0">
        <w:rPr>
          <w:sz w:val="20"/>
          <w:szCs w:val="20"/>
        </w:rPr>
        <w:t xml:space="preserve"> If documents have been subpoenaed and are needed for trial, counsel must notify the Clerk on the date of Readiness so arrangements may be made to bring them to the courtroom.</w:t>
      </w:r>
    </w:p>
    <w:p w14:paraId="7B637695" w14:textId="77777777" w:rsidR="004851D0" w:rsidRPr="004851D0" w:rsidRDefault="004851D0" w:rsidP="004851D0">
      <w:pPr>
        <w:numPr>
          <w:ilvl w:val="0"/>
          <w:numId w:val="2"/>
        </w:numPr>
        <w:rPr>
          <w:sz w:val="20"/>
          <w:szCs w:val="20"/>
        </w:rPr>
      </w:pPr>
      <w:r w:rsidRPr="004851D0">
        <w:rPr>
          <w:b/>
          <w:bCs/>
          <w:sz w:val="20"/>
          <w:szCs w:val="20"/>
        </w:rPr>
        <w:t xml:space="preserve">If the case </w:t>
      </w:r>
      <w:proofErr w:type="gramStart"/>
      <w:r w:rsidRPr="004851D0">
        <w:rPr>
          <w:b/>
          <w:bCs/>
          <w:sz w:val="20"/>
          <w:szCs w:val="20"/>
        </w:rPr>
        <w:t>resolves</w:t>
      </w:r>
      <w:proofErr w:type="gramEnd"/>
      <w:r w:rsidRPr="004851D0">
        <w:rPr>
          <w:b/>
          <w:bCs/>
          <w:sz w:val="20"/>
          <w:szCs w:val="20"/>
        </w:rPr>
        <w:t xml:space="preserve"> prior to the Readiness date</w:t>
      </w:r>
      <w:r w:rsidRPr="004851D0">
        <w:rPr>
          <w:sz w:val="20"/>
          <w:szCs w:val="20"/>
        </w:rPr>
        <w:t xml:space="preserve">, counsel is ordered to notify the courtroom clerk immediately so the trial dates may be made available </w:t>
      </w:r>
      <w:proofErr w:type="gramStart"/>
      <w:r w:rsidRPr="004851D0">
        <w:rPr>
          <w:sz w:val="20"/>
          <w:szCs w:val="20"/>
        </w:rPr>
        <w:t>to</w:t>
      </w:r>
      <w:proofErr w:type="gramEnd"/>
      <w:r w:rsidRPr="004851D0">
        <w:rPr>
          <w:sz w:val="20"/>
          <w:szCs w:val="20"/>
        </w:rPr>
        <w:t xml:space="preserve"> other matters. The Court will then issue a new date with sufficient time to effectuate the resolution.</w:t>
      </w:r>
    </w:p>
    <w:p w14:paraId="31C934CE" w14:textId="77777777" w:rsidR="004851D0" w:rsidRPr="004851D0" w:rsidRDefault="004851D0" w:rsidP="004851D0">
      <w:pPr>
        <w:numPr>
          <w:ilvl w:val="0"/>
          <w:numId w:val="2"/>
        </w:numPr>
        <w:rPr>
          <w:sz w:val="20"/>
          <w:szCs w:val="20"/>
        </w:rPr>
      </w:pPr>
      <w:r w:rsidRPr="004851D0">
        <w:rPr>
          <w:b/>
          <w:bCs/>
          <w:sz w:val="20"/>
          <w:szCs w:val="20"/>
        </w:rPr>
        <w:t>Trial Brief</w:t>
      </w:r>
      <w:r w:rsidRPr="004851D0">
        <w:rPr>
          <w:sz w:val="20"/>
          <w:szCs w:val="20"/>
        </w:rPr>
        <w:t xml:space="preserve"> (optional for jury trials).</w:t>
      </w:r>
    </w:p>
    <w:p w14:paraId="0EFB9449" w14:textId="77777777" w:rsidR="004851D0" w:rsidRPr="004851D0" w:rsidRDefault="009C2908" w:rsidP="004851D0">
      <w:pPr>
        <w:rPr>
          <w:sz w:val="20"/>
          <w:szCs w:val="20"/>
        </w:rPr>
      </w:pPr>
      <w:r>
        <w:rPr>
          <w:sz w:val="20"/>
          <w:szCs w:val="20"/>
        </w:rPr>
        <w:pict w14:anchorId="242754AD">
          <v:rect id="_x0000_i1025" style="width:0;height:1.5pt" o:hralign="center" o:hrstd="t" o:hr="t" fillcolor="#a0a0a0" stroked="f"/>
        </w:pict>
      </w:r>
    </w:p>
    <w:p w14:paraId="78E24EE7" w14:textId="5D17B1BD" w:rsidR="00C4645E" w:rsidRPr="004851D0" w:rsidRDefault="004851D0" w:rsidP="004851D0">
      <w:pPr>
        <w:rPr>
          <w:sz w:val="20"/>
          <w:szCs w:val="20"/>
        </w:rPr>
      </w:pPr>
      <w:r w:rsidRPr="004851D0">
        <w:rPr>
          <w:b/>
          <w:bCs/>
          <w:sz w:val="20"/>
          <w:szCs w:val="20"/>
        </w:rPr>
        <w:t>ALL ITEMS LISTED ABOVE ARE MANDATORY, EXCEPT FOR THE TRIAL BRIEF, WHICH IS OPTIONAL FOR JURY TRIALS.</w:t>
      </w:r>
      <w:r w:rsidRPr="004851D0">
        <w:rPr>
          <w:sz w:val="20"/>
          <w:szCs w:val="20"/>
        </w:rPr>
        <w:br/>
      </w:r>
      <w:r w:rsidRPr="004851D0">
        <w:rPr>
          <w:i/>
          <w:iCs/>
          <w:sz w:val="20"/>
          <w:szCs w:val="20"/>
        </w:rPr>
        <w:t>(See SBC Local Rule 411.)</w:t>
      </w:r>
    </w:p>
    <w:sectPr w:rsidR="00C4645E" w:rsidRPr="004851D0" w:rsidSect="004851D0">
      <w:headerReference w:type="default" r:id="rId7"/>
      <w:footerReference w:type="default" r:id="rId8"/>
      <w:pgSz w:w="12240" w:h="15840"/>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53722" w14:textId="77777777" w:rsidR="009C2908" w:rsidRDefault="009C2908" w:rsidP="000E290E">
      <w:pPr>
        <w:spacing w:after="0" w:line="240" w:lineRule="auto"/>
      </w:pPr>
      <w:r>
        <w:separator/>
      </w:r>
    </w:p>
  </w:endnote>
  <w:endnote w:type="continuationSeparator" w:id="0">
    <w:p w14:paraId="4937DCCC" w14:textId="77777777" w:rsidR="009C2908" w:rsidRDefault="009C2908" w:rsidP="000E2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3B0D" w14:textId="435E2385" w:rsidR="00BD6989" w:rsidRPr="00BD6989" w:rsidRDefault="00BD6989" w:rsidP="00BD6989">
    <w:pPr>
      <w:pStyle w:val="Footer"/>
      <w:jc w:val="right"/>
      <w:rPr>
        <w:sz w:val="16"/>
        <w:szCs w:val="16"/>
      </w:rPr>
    </w:pPr>
    <w:r>
      <w:rPr>
        <w:sz w:val="16"/>
        <w:szCs w:val="16"/>
      </w:rPr>
      <w:t>Rev.2.23.26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DE310" w14:textId="77777777" w:rsidR="009C2908" w:rsidRDefault="009C2908" w:rsidP="000E290E">
      <w:pPr>
        <w:spacing w:after="0" w:line="240" w:lineRule="auto"/>
      </w:pPr>
      <w:r>
        <w:separator/>
      </w:r>
    </w:p>
  </w:footnote>
  <w:footnote w:type="continuationSeparator" w:id="0">
    <w:p w14:paraId="039DC07D" w14:textId="77777777" w:rsidR="009C2908" w:rsidRDefault="009C2908" w:rsidP="000E29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01D8F" w14:textId="77777777" w:rsidR="00986FB2" w:rsidRDefault="00986FB2" w:rsidP="00986FB2">
    <w:pPr>
      <w:jc w:val="center"/>
      <w:rPr>
        <w:sz w:val="22"/>
        <w:szCs w:val="22"/>
      </w:rPr>
    </w:pPr>
  </w:p>
  <w:p w14:paraId="72F91BD3" w14:textId="696AE04C" w:rsidR="000E290E" w:rsidRPr="00986FB2" w:rsidRDefault="00986FB2" w:rsidP="00986FB2">
    <w:pPr>
      <w:jc w:val="center"/>
      <w:rPr>
        <w:sz w:val="22"/>
        <w:szCs w:val="22"/>
      </w:rPr>
    </w:pPr>
    <w:r w:rsidRPr="000E290E">
      <w:rPr>
        <w:sz w:val="22"/>
        <w:szCs w:val="22"/>
      </w:rPr>
      <w:t>Superior Court of California, County of San Bernardino</w:t>
    </w:r>
    <w:r w:rsidRPr="000E290E">
      <w:rPr>
        <w:sz w:val="22"/>
        <w:szCs w:val="22"/>
      </w:rPr>
      <w:br/>
      <w:t xml:space="preserve">Victorville District – Civil Division </w:t>
    </w:r>
    <w:r w:rsidRPr="000E290E">
      <w:rPr>
        <w:sz w:val="22"/>
        <w:szCs w:val="22"/>
      </w:rPr>
      <w:br/>
      <w:t>14455 Civic Drive Victorville, CA. 92392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33F8B"/>
    <w:multiLevelType w:val="multilevel"/>
    <w:tmpl w:val="DC6EF0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6E6FE4"/>
    <w:multiLevelType w:val="hybridMultilevel"/>
    <w:tmpl w:val="3F9A6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7221070">
    <w:abstractNumId w:val="1"/>
  </w:num>
  <w:num w:numId="2" w16cid:durableId="237054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90E"/>
    <w:rsid w:val="000E290E"/>
    <w:rsid w:val="002D2F7C"/>
    <w:rsid w:val="00346417"/>
    <w:rsid w:val="004851D0"/>
    <w:rsid w:val="007740A8"/>
    <w:rsid w:val="00986FB2"/>
    <w:rsid w:val="009A71F9"/>
    <w:rsid w:val="009C2908"/>
    <w:rsid w:val="00A4467F"/>
    <w:rsid w:val="00AD5547"/>
    <w:rsid w:val="00BD6989"/>
    <w:rsid w:val="00C4645E"/>
    <w:rsid w:val="00DC43C6"/>
    <w:rsid w:val="00F55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7E90"/>
  <w15:chartTrackingRefBased/>
  <w15:docId w15:val="{1FA462C8-1CFB-41F3-BE56-356FDC5B3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290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E290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E290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E290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0E290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0E29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29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29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29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90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E290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E290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E290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E290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E29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29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29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290E"/>
    <w:rPr>
      <w:rFonts w:eastAsiaTheme="majorEastAsia" w:cstheme="majorBidi"/>
      <w:color w:val="272727" w:themeColor="text1" w:themeTint="D8"/>
    </w:rPr>
  </w:style>
  <w:style w:type="paragraph" w:styleId="Title">
    <w:name w:val="Title"/>
    <w:basedOn w:val="Normal"/>
    <w:next w:val="Normal"/>
    <w:link w:val="TitleChar"/>
    <w:uiPriority w:val="10"/>
    <w:qFormat/>
    <w:rsid w:val="000E29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29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29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29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290E"/>
    <w:pPr>
      <w:spacing w:before="160"/>
      <w:jc w:val="center"/>
    </w:pPr>
    <w:rPr>
      <w:i/>
      <w:iCs/>
      <w:color w:val="404040" w:themeColor="text1" w:themeTint="BF"/>
    </w:rPr>
  </w:style>
  <w:style w:type="character" w:customStyle="1" w:styleId="QuoteChar">
    <w:name w:val="Quote Char"/>
    <w:basedOn w:val="DefaultParagraphFont"/>
    <w:link w:val="Quote"/>
    <w:uiPriority w:val="29"/>
    <w:rsid w:val="000E290E"/>
    <w:rPr>
      <w:i/>
      <w:iCs/>
      <w:color w:val="404040" w:themeColor="text1" w:themeTint="BF"/>
    </w:rPr>
  </w:style>
  <w:style w:type="paragraph" w:styleId="ListParagraph">
    <w:name w:val="List Paragraph"/>
    <w:basedOn w:val="Normal"/>
    <w:uiPriority w:val="34"/>
    <w:qFormat/>
    <w:rsid w:val="000E290E"/>
    <w:pPr>
      <w:ind w:left="720"/>
      <w:contextualSpacing/>
    </w:pPr>
  </w:style>
  <w:style w:type="character" w:styleId="IntenseEmphasis">
    <w:name w:val="Intense Emphasis"/>
    <w:basedOn w:val="DefaultParagraphFont"/>
    <w:uiPriority w:val="21"/>
    <w:qFormat/>
    <w:rsid w:val="000E290E"/>
    <w:rPr>
      <w:i/>
      <w:iCs/>
      <w:color w:val="2E74B5" w:themeColor="accent1" w:themeShade="BF"/>
    </w:rPr>
  </w:style>
  <w:style w:type="paragraph" w:styleId="IntenseQuote">
    <w:name w:val="Intense Quote"/>
    <w:basedOn w:val="Normal"/>
    <w:next w:val="Normal"/>
    <w:link w:val="IntenseQuoteChar"/>
    <w:uiPriority w:val="30"/>
    <w:qFormat/>
    <w:rsid w:val="000E290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E290E"/>
    <w:rPr>
      <w:i/>
      <w:iCs/>
      <w:color w:val="2E74B5" w:themeColor="accent1" w:themeShade="BF"/>
    </w:rPr>
  </w:style>
  <w:style w:type="character" w:styleId="IntenseReference">
    <w:name w:val="Intense Reference"/>
    <w:basedOn w:val="DefaultParagraphFont"/>
    <w:uiPriority w:val="32"/>
    <w:qFormat/>
    <w:rsid w:val="000E290E"/>
    <w:rPr>
      <w:b/>
      <w:bCs/>
      <w:smallCaps/>
      <w:color w:val="2E74B5" w:themeColor="accent1" w:themeShade="BF"/>
      <w:spacing w:val="5"/>
    </w:rPr>
  </w:style>
  <w:style w:type="paragraph" w:styleId="Header">
    <w:name w:val="header"/>
    <w:basedOn w:val="Normal"/>
    <w:link w:val="HeaderChar"/>
    <w:uiPriority w:val="99"/>
    <w:unhideWhenUsed/>
    <w:rsid w:val="000E29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90E"/>
  </w:style>
  <w:style w:type="paragraph" w:styleId="Footer">
    <w:name w:val="footer"/>
    <w:basedOn w:val="Normal"/>
    <w:link w:val="FooterChar"/>
    <w:uiPriority w:val="99"/>
    <w:unhideWhenUsed/>
    <w:rsid w:val="000E29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9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1992</Characters>
  <Application>Microsoft Office Word</Application>
  <DocSecurity>0</DocSecurity>
  <Lines>37</Lines>
  <Paragraphs>29</Paragraphs>
  <ScaleCrop>false</ScaleCrop>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Sandoval, Monica</dc:creator>
  <cp:keywords/>
  <dc:description/>
  <cp:lastModifiedBy>Sandoval, Monica</cp:lastModifiedBy>
  <cp:revision>2</cp:revision>
  <dcterms:created xsi:type="dcterms:W3CDTF">2026-02-23T23:49:00Z</dcterms:created>
  <dcterms:modified xsi:type="dcterms:W3CDTF">2026-02-23T23:49:00Z</dcterms:modified>
</cp:coreProperties>
</file>