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1EDF9" w14:textId="77777777" w:rsidR="004E2148" w:rsidRDefault="004E2148" w:rsidP="00EE5877">
      <w:pPr>
        <w:pStyle w:val="Title"/>
        <w:rPr>
          <w:sz w:val="24"/>
          <w:szCs w:val="24"/>
          <w:u w:val="single"/>
        </w:rPr>
      </w:pPr>
      <w:r w:rsidRPr="00096945">
        <w:rPr>
          <w:sz w:val="24"/>
          <w:szCs w:val="24"/>
          <w:u w:val="single"/>
        </w:rPr>
        <w:t>TRIAL</w:t>
      </w:r>
      <w:r w:rsidR="009C06EA">
        <w:rPr>
          <w:sz w:val="24"/>
          <w:szCs w:val="24"/>
          <w:u w:val="single"/>
        </w:rPr>
        <w:t xml:space="preserve"> SETTING</w:t>
      </w:r>
      <w:r w:rsidRPr="00096945">
        <w:rPr>
          <w:sz w:val="24"/>
          <w:szCs w:val="24"/>
          <w:u w:val="single"/>
        </w:rPr>
        <w:t xml:space="preserve"> ORDERS</w:t>
      </w:r>
    </w:p>
    <w:p w14:paraId="684355E0" w14:textId="77777777" w:rsidR="009C06EA" w:rsidRDefault="009C06EA" w:rsidP="00EE5877">
      <w:pPr>
        <w:pStyle w:val="Title"/>
        <w:rPr>
          <w:sz w:val="24"/>
          <w:szCs w:val="24"/>
          <w:u w:val="single"/>
        </w:rPr>
      </w:pPr>
      <w:r>
        <w:rPr>
          <w:sz w:val="24"/>
          <w:szCs w:val="24"/>
          <w:u w:val="single"/>
        </w:rPr>
        <w:t>SAN BERNARDINO SUPERIOR COURT – DEPT. S-29</w:t>
      </w:r>
    </w:p>
    <w:p w14:paraId="7A426C48" w14:textId="77777777" w:rsidR="009C06EA" w:rsidRDefault="009C06EA" w:rsidP="00EE5877">
      <w:pPr>
        <w:pStyle w:val="Title"/>
        <w:rPr>
          <w:sz w:val="24"/>
          <w:szCs w:val="24"/>
          <w:u w:val="single"/>
        </w:rPr>
      </w:pPr>
      <w:r>
        <w:rPr>
          <w:sz w:val="24"/>
          <w:szCs w:val="24"/>
          <w:u w:val="single"/>
        </w:rPr>
        <w:t>JUDGE N. QUINTANA WINTER</w:t>
      </w:r>
    </w:p>
    <w:p w14:paraId="6140F44D" w14:textId="77777777" w:rsidR="009C06EA" w:rsidRDefault="009C06EA" w:rsidP="00EE5877">
      <w:pPr>
        <w:pStyle w:val="Title"/>
        <w:rPr>
          <w:sz w:val="24"/>
          <w:szCs w:val="24"/>
          <w:u w:val="single"/>
        </w:rPr>
      </w:pPr>
    </w:p>
    <w:p w14:paraId="13E9086A" w14:textId="77777777" w:rsidR="009C06EA" w:rsidRDefault="009C06EA" w:rsidP="00EE5877">
      <w:pPr>
        <w:pStyle w:val="Title"/>
        <w:rPr>
          <w:sz w:val="24"/>
          <w:szCs w:val="24"/>
        </w:rPr>
      </w:pPr>
      <w:r>
        <w:rPr>
          <w:sz w:val="24"/>
          <w:szCs w:val="24"/>
        </w:rPr>
        <w:t xml:space="preserve">REQUIRED DOCUMENTS FOR PRESENTATION TO COURT AT READINESS CALENDAR WITH SERVICE ON OPPOSING COUNSEL PURSUANT TO SAN BERNARDINO (SBC) LOCAL RULE 411 et seq. </w:t>
      </w:r>
    </w:p>
    <w:p w14:paraId="6DF48732" w14:textId="77777777" w:rsidR="009C06EA" w:rsidRDefault="009C06EA" w:rsidP="00EE5877">
      <w:pPr>
        <w:pStyle w:val="Title"/>
        <w:rPr>
          <w:sz w:val="24"/>
          <w:szCs w:val="24"/>
        </w:rPr>
      </w:pPr>
    </w:p>
    <w:p w14:paraId="58F38E4F" w14:textId="77777777" w:rsidR="000F2D8B" w:rsidRPr="000F2D8B" w:rsidRDefault="009C06EA" w:rsidP="009C06EA">
      <w:pPr>
        <w:pStyle w:val="Title"/>
        <w:numPr>
          <w:ilvl w:val="0"/>
          <w:numId w:val="2"/>
        </w:numPr>
        <w:jc w:val="left"/>
        <w:rPr>
          <w:sz w:val="24"/>
          <w:szCs w:val="24"/>
        </w:rPr>
      </w:pPr>
      <w:r>
        <w:rPr>
          <w:sz w:val="24"/>
          <w:szCs w:val="24"/>
        </w:rPr>
        <w:t xml:space="preserve">MOTIONS IN LIMINE </w:t>
      </w:r>
      <w:r>
        <w:rPr>
          <w:b w:val="0"/>
          <w:sz w:val="24"/>
          <w:szCs w:val="24"/>
        </w:rPr>
        <w:t xml:space="preserve">– Motions in limine shall comply with San Bernardino County Local Rules 411.2 and 415. The parties are expected to read and be familiar with </w:t>
      </w:r>
      <w:r>
        <w:rPr>
          <w:b w:val="0"/>
          <w:i/>
          <w:sz w:val="24"/>
          <w:szCs w:val="24"/>
        </w:rPr>
        <w:t xml:space="preserve">Kelly v. New West Federal Savings </w:t>
      </w:r>
      <w:r w:rsidRPr="009C06EA">
        <w:rPr>
          <w:b w:val="0"/>
          <w:sz w:val="24"/>
          <w:szCs w:val="24"/>
        </w:rPr>
        <w:t>(1996) 49 Cal.App.4</w:t>
      </w:r>
      <w:r w:rsidRPr="009C06EA">
        <w:rPr>
          <w:b w:val="0"/>
          <w:sz w:val="24"/>
          <w:szCs w:val="24"/>
          <w:vertAlign w:val="superscript"/>
        </w:rPr>
        <w:t>th</w:t>
      </w:r>
      <w:r w:rsidRPr="009C06EA">
        <w:rPr>
          <w:b w:val="0"/>
          <w:sz w:val="24"/>
          <w:szCs w:val="24"/>
        </w:rPr>
        <w:t xml:space="preserve"> 659;</w:t>
      </w:r>
      <w:r>
        <w:rPr>
          <w:b w:val="0"/>
          <w:i/>
          <w:sz w:val="24"/>
          <w:szCs w:val="24"/>
        </w:rPr>
        <w:t xml:space="preserve"> Amtower v. Photon Dynamics Inc., (2008) </w:t>
      </w:r>
      <w:r w:rsidRPr="000F2D8B">
        <w:rPr>
          <w:b w:val="0"/>
          <w:sz w:val="24"/>
          <w:szCs w:val="24"/>
        </w:rPr>
        <w:t>158 CA4th 1582;</w:t>
      </w:r>
      <w:r>
        <w:rPr>
          <w:b w:val="0"/>
          <w:i/>
          <w:sz w:val="24"/>
          <w:szCs w:val="24"/>
        </w:rPr>
        <w:t xml:space="preserve"> R &amp; B Auto Center Inc. v. Farmers Group Inc. </w:t>
      </w:r>
      <w:r w:rsidRPr="000F2D8B">
        <w:rPr>
          <w:b w:val="0"/>
          <w:sz w:val="24"/>
          <w:szCs w:val="24"/>
        </w:rPr>
        <w:t>(2006) 140 Cal.App 4</w:t>
      </w:r>
      <w:r w:rsidRPr="000F2D8B">
        <w:rPr>
          <w:b w:val="0"/>
          <w:sz w:val="24"/>
          <w:szCs w:val="24"/>
          <w:vertAlign w:val="superscript"/>
        </w:rPr>
        <w:t>th</w:t>
      </w:r>
      <w:r w:rsidRPr="000F2D8B">
        <w:rPr>
          <w:b w:val="0"/>
          <w:sz w:val="24"/>
          <w:szCs w:val="24"/>
        </w:rPr>
        <w:t xml:space="preserve"> 327, 371-372.</w:t>
      </w:r>
    </w:p>
    <w:p w14:paraId="12A7645D" w14:textId="77777777" w:rsidR="000F2D8B" w:rsidRDefault="000F2D8B" w:rsidP="009C06EA">
      <w:pPr>
        <w:pStyle w:val="Title"/>
        <w:numPr>
          <w:ilvl w:val="0"/>
          <w:numId w:val="2"/>
        </w:numPr>
        <w:jc w:val="left"/>
        <w:rPr>
          <w:sz w:val="24"/>
          <w:szCs w:val="24"/>
        </w:rPr>
      </w:pPr>
      <w:r>
        <w:rPr>
          <w:sz w:val="24"/>
          <w:szCs w:val="24"/>
        </w:rPr>
        <w:t>JOINT WITNESS LIST</w:t>
      </w:r>
    </w:p>
    <w:p w14:paraId="3AC1FA55" w14:textId="77777777" w:rsidR="000F2D8B" w:rsidRPr="000F2D8B" w:rsidRDefault="000F2D8B" w:rsidP="009C06EA">
      <w:pPr>
        <w:pStyle w:val="Title"/>
        <w:numPr>
          <w:ilvl w:val="0"/>
          <w:numId w:val="2"/>
        </w:numPr>
        <w:jc w:val="left"/>
        <w:rPr>
          <w:sz w:val="24"/>
          <w:szCs w:val="24"/>
        </w:rPr>
      </w:pPr>
      <w:r>
        <w:rPr>
          <w:sz w:val="24"/>
          <w:szCs w:val="24"/>
        </w:rPr>
        <w:t xml:space="preserve">JOINT EXHIBIT LIST – </w:t>
      </w:r>
      <w:r>
        <w:rPr>
          <w:b w:val="0"/>
          <w:sz w:val="24"/>
          <w:szCs w:val="24"/>
        </w:rPr>
        <w:t xml:space="preserve">Exhibits shall be pre-marked in numerical order and if multiple pages, shall be Bate stamped at the bottom of each page. </w:t>
      </w:r>
    </w:p>
    <w:p w14:paraId="3EAD71B6" w14:textId="77777777" w:rsidR="000F2D8B" w:rsidRDefault="000F2D8B" w:rsidP="009C06EA">
      <w:pPr>
        <w:pStyle w:val="Title"/>
        <w:numPr>
          <w:ilvl w:val="0"/>
          <w:numId w:val="2"/>
        </w:numPr>
        <w:jc w:val="left"/>
        <w:rPr>
          <w:sz w:val="24"/>
          <w:szCs w:val="24"/>
        </w:rPr>
      </w:pPr>
      <w:r>
        <w:rPr>
          <w:sz w:val="24"/>
          <w:szCs w:val="24"/>
        </w:rPr>
        <w:t>JOINT STATEMENT OF THE CASE**</w:t>
      </w:r>
    </w:p>
    <w:p w14:paraId="1EF01D00" w14:textId="77777777" w:rsidR="000F2D8B" w:rsidRDefault="000F2D8B" w:rsidP="009C06EA">
      <w:pPr>
        <w:pStyle w:val="Title"/>
        <w:numPr>
          <w:ilvl w:val="0"/>
          <w:numId w:val="2"/>
        </w:numPr>
        <w:jc w:val="left"/>
        <w:rPr>
          <w:sz w:val="24"/>
          <w:szCs w:val="24"/>
        </w:rPr>
      </w:pPr>
      <w:r>
        <w:rPr>
          <w:sz w:val="24"/>
          <w:szCs w:val="24"/>
        </w:rPr>
        <w:t xml:space="preserve">JOINT SET OF PROPOSED </w:t>
      </w:r>
      <w:r w:rsidR="008C4C59">
        <w:rPr>
          <w:sz w:val="24"/>
          <w:szCs w:val="24"/>
        </w:rPr>
        <w:t>JURY INSTRUCTIONS**</w:t>
      </w:r>
    </w:p>
    <w:p w14:paraId="7C954038" w14:textId="77777777" w:rsidR="000F2D8B" w:rsidRPr="000F2D8B" w:rsidRDefault="000F2D8B" w:rsidP="000F2D8B">
      <w:pPr>
        <w:pStyle w:val="Title"/>
        <w:numPr>
          <w:ilvl w:val="1"/>
          <w:numId w:val="2"/>
        </w:numPr>
        <w:jc w:val="left"/>
        <w:rPr>
          <w:sz w:val="24"/>
          <w:szCs w:val="24"/>
        </w:rPr>
      </w:pPr>
      <w:r>
        <w:rPr>
          <w:b w:val="0"/>
          <w:sz w:val="24"/>
          <w:szCs w:val="24"/>
        </w:rPr>
        <w:t>Which includes the actual instructions completely filled out and a pleading cover sheet with CACI instructions in sequential order together with any special instructions.</w:t>
      </w:r>
    </w:p>
    <w:p w14:paraId="04CD9F88" w14:textId="77777777" w:rsidR="000F2D8B" w:rsidRPr="000F2D8B" w:rsidRDefault="000F2D8B" w:rsidP="000F2D8B">
      <w:pPr>
        <w:pStyle w:val="Title"/>
        <w:numPr>
          <w:ilvl w:val="1"/>
          <w:numId w:val="2"/>
        </w:numPr>
        <w:jc w:val="left"/>
        <w:rPr>
          <w:sz w:val="24"/>
          <w:szCs w:val="24"/>
        </w:rPr>
      </w:pPr>
      <w:r>
        <w:rPr>
          <w:b w:val="0"/>
          <w:sz w:val="24"/>
          <w:szCs w:val="24"/>
        </w:rPr>
        <w:t xml:space="preserve">Inclusion of jury instructions in the set is not waiver of the right to object. </w:t>
      </w:r>
    </w:p>
    <w:p w14:paraId="5F6DC932" w14:textId="77777777" w:rsidR="008C4C59" w:rsidRDefault="008C4C59" w:rsidP="000F2D8B">
      <w:pPr>
        <w:pStyle w:val="Title"/>
        <w:numPr>
          <w:ilvl w:val="0"/>
          <w:numId w:val="2"/>
        </w:numPr>
        <w:jc w:val="left"/>
        <w:rPr>
          <w:sz w:val="24"/>
          <w:szCs w:val="24"/>
        </w:rPr>
      </w:pPr>
      <w:r>
        <w:rPr>
          <w:sz w:val="24"/>
          <w:szCs w:val="24"/>
        </w:rPr>
        <w:t>PROPOSED SPECIAL VERDICT FORM IF YOU ARE REQUESTING ONE**</w:t>
      </w:r>
    </w:p>
    <w:p w14:paraId="11CC6420" w14:textId="00D3855E" w:rsidR="008C4C59" w:rsidRDefault="00AF0798" w:rsidP="000F2D8B">
      <w:pPr>
        <w:pStyle w:val="Title"/>
        <w:numPr>
          <w:ilvl w:val="0"/>
          <w:numId w:val="2"/>
        </w:numPr>
        <w:jc w:val="left"/>
        <w:rPr>
          <w:sz w:val="24"/>
          <w:szCs w:val="24"/>
        </w:rPr>
      </w:pPr>
      <w:r>
        <w:rPr>
          <w:sz w:val="24"/>
          <w:szCs w:val="24"/>
        </w:rPr>
        <w:t>ANY DEPOSITION</w:t>
      </w:r>
      <w:r w:rsidR="008C4C59">
        <w:rPr>
          <w:sz w:val="24"/>
          <w:szCs w:val="24"/>
        </w:rPr>
        <w:t xml:space="preserve"> DESIG</w:t>
      </w:r>
      <w:r w:rsidR="00672882">
        <w:rPr>
          <w:sz w:val="24"/>
          <w:szCs w:val="24"/>
        </w:rPr>
        <w:t>N</w:t>
      </w:r>
      <w:bookmarkStart w:id="0" w:name="_GoBack"/>
      <w:bookmarkEnd w:id="0"/>
      <w:r w:rsidR="008C4C59">
        <w:rPr>
          <w:sz w:val="24"/>
          <w:szCs w:val="24"/>
        </w:rPr>
        <w:t>ATIONS AND COUNTER DESIGNATIONS WI</w:t>
      </w:r>
      <w:r>
        <w:rPr>
          <w:sz w:val="24"/>
          <w:szCs w:val="24"/>
        </w:rPr>
        <w:t>TH ATTACHED COPIES OF THE DEPOS</w:t>
      </w:r>
      <w:r w:rsidR="008C4C59">
        <w:rPr>
          <w:sz w:val="24"/>
          <w:szCs w:val="24"/>
        </w:rPr>
        <w:t>ITIONS, HIGHLIGHTED AND TABBED</w:t>
      </w:r>
    </w:p>
    <w:p w14:paraId="6929D4BF" w14:textId="77777777" w:rsidR="008C4C59" w:rsidRDefault="008C4C59" w:rsidP="000F2D8B">
      <w:pPr>
        <w:pStyle w:val="Title"/>
        <w:numPr>
          <w:ilvl w:val="0"/>
          <w:numId w:val="2"/>
        </w:numPr>
        <w:jc w:val="left"/>
        <w:rPr>
          <w:sz w:val="24"/>
          <w:szCs w:val="24"/>
        </w:rPr>
      </w:pPr>
      <w:r>
        <w:rPr>
          <w:sz w:val="24"/>
          <w:szCs w:val="24"/>
        </w:rPr>
        <w:t>TRIAL BRIEF</w:t>
      </w:r>
    </w:p>
    <w:p w14:paraId="04D39B47" w14:textId="77777777" w:rsidR="008C4C59" w:rsidRDefault="008C4C59" w:rsidP="008C4C59">
      <w:pPr>
        <w:pStyle w:val="Title"/>
        <w:jc w:val="left"/>
        <w:rPr>
          <w:sz w:val="24"/>
          <w:szCs w:val="24"/>
        </w:rPr>
      </w:pPr>
    </w:p>
    <w:p w14:paraId="44F897E2" w14:textId="77777777" w:rsidR="008C4C59" w:rsidRDefault="008C4C59" w:rsidP="008C4C59">
      <w:pPr>
        <w:pStyle w:val="Title"/>
        <w:jc w:val="left"/>
        <w:rPr>
          <w:sz w:val="24"/>
          <w:szCs w:val="24"/>
        </w:rPr>
      </w:pPr>
      <w:r>
        <w:rPr>
          <w:sz w:val="24"/>
          <w:szCs w:val="24"/>
        </w:rPr>
        <w:t xml:space="preserve">**NOT NECESSARY IF THE MATTER IS PROCEEDING AS A COURT TRIAL </w:t>
      </w:r>
    </w:p>
    <w:p w14:paraId="0FE78F92" w14:textId="77777777" w:rsidR="008C4C59" w:rsidRDefault="008C4C59" w:rsidP="008C4C59">
      <w:pPr>
        <w:pStyle w:val="Title"/>
        <w:jc w:val="left"/>
        <w:rPr>
          <w:sz w:val="24"/>
          <w:szCs w:val="24"/>
        </w:rPr>
      </w:pPr>
    </w:p>
    <w:p w14:paraId="417B9F0B" w14:textId="77777777" w:rsidR="008C4C59" w:rsidRDefault="008C4C59" w:rsidP="00EE5877">
      <w:pPr>
        <w:jc w:val="center"/>
        <w:rPr>
          <w:b/>
          <w:bCs/>
        </w:rPr>
      </w:pPr>
    </w:p>
    <w:p w14:paraId="3E913C04" w14:textId="77777777" w:rsidR="00EE5877" w:rsidRDefault="008C4C59" w:rsidP="00EE5877">
      <w:pPr>
        <w:jc w:val="center"/>
        <w:rPr>
          <w:b/>
          <w:bCs/>
          <w:u w:val="single"/>
        </w:rPr>
      </w:pPr>
      <w:r w:rsidRPr="008C4C59">
        <w:rPr>
          <w:b/>
          <w:bCs/>
          <w:u w:val="single"/>
        </w:rPr>
        <w:t xml:space="preserve">SUA SPONTE RULINGS OF THE COURT FOR TRIAL </w:t>
      </w:r>
      <w:r w:rsidR="00EE5877" w:rsidRPr="008C4C59">
        <w:rPr>
          <w:b/>
          <w:bCs/>
          <w:u w:val="single"/>
        </w:rPr>
        <w:t> </w:t>
      </w:r>
    </w:p>
    <w:p w14:paraId="64B8492E" w14:textId="77777777" w:rsidR="008C4C59" w:rsidRPr="008C4C59" w:rsidRDefault="008C4C59" w:rsidP="00EE5877">
      <w:pPr>
        <w:jc w:val="center"/>
        <w:rPr>
          <w:u w:val="single"/>
        </w:rPr>
      </w:pPr>
    </w:p>
    <w:p w14:paraId="0CDC60DA" w14:textId="77777777" w:rsidR="008C4C59" w:rsidRDefault="00987B7B" w:rsidP="008C4C59">
      <w:pPr>
        <w:pStyle w:val="BodyText"/>
        <w:numPr>
          <w:ilvl w:val="0"/>
          <w:numId w:val="3"/>
        </w:numPr>
        <w:rPr>
          <w:sz w:val="24"/>
          <w:szCs w:val="24"/>
        </w:rPr>
      </w:pPr>
      <w:r>
        <w:rPr>
          <w:sz w:val="24"/>
          <w:szCs w:val="24"/>
        </w:rPr>
        <w:t xml:space="preserve">No witness may be called, except with court permission in exceptional circumstances, unless notice has been given to all parties of the date when the witness will testify. Such notice shall be given no later than at the end of the court day proceeding the court day before the witness is to testify. (For example, notice for a Monday witness to be given at or before adjournment of the Thursday session.) </w:t>
      </w:r>
    </w:p>
    <w:p w14:paraId="7D7C3753" w14:textId="77777777" w:rsidR="00987B7B" w:rsidRDefault="00987B7B" w:rsidP="008C4C59">
      <w:pPr>
        <w:pStyle w:val="BodyText"/>
        <w:numPr>
          <w:ilvl w:val="0"/>
          <w:numId w:val="3"/>
        </w:numPr>
        <w:rPr>
          <w:sz w:val="24"/>
          <w:szCs w:val="24"/>
        </w:rPr>
      </w:pPr>
      <w:r>
        <w:rPr>
          <w:sz w:val="24"/>
          <w:szCs w:val="24"/>
        </w:rPr>
        <w:t xml:space="preserve">All witnesses will be excluded from the courtroom, unless otherwise ordered excepting those for whom an exception exists at law. (For example, parties and corporate representatives.) </w:t>
      </w:r>
    </w:p>
    <w:p w14:paraId="21636AD5" w14:textId="77777777" w:rsidR="00987B7B" w:rsidRPr="003C4860" w:rsidRDefault="00987B7B" w:rsidP="008C4C59">
      <w:pPr>
        <w:pStyle w:val="BodyText"/>
        <w:numPr>
          <w:ilvl w:val="0"/>
          <w:numId w:val="3"/>
        </w:numPr>
        <w:rPr>
          <w:sz w:val="24"/>
          <w:szCs w:val="24"/>
        </w:rPr>
      </w:pPr>
      <w:r>
        <w:rPr>
          <w:sz w:val="24"/>
          <w:szCs w:val="24"/>
        </w:rPr>
        <w:t xml:space="preserve">Evidence of, or reference to, settlement negotiations, mediation, and material related </w:t>
      </w:r>
      <w:r w:rsidRPr="003C4860">
        <w:rPr>
          <w:sz w:val="24"/>
          <w:szCs w:val="24"/>
        </w:rPr>
        <w:t>thereto which are privileged under the evidence code or by ag</w:t>
      </w:r>
      <w:r w:rsidR="003C4860" w:rsidRPr="003C4860">
        <w:rPr>
          <w:sz w:val="24"/>
          <w:szCs w:val="24"/>
        </w:rPr>
        <w:t xml:space="preserve">reement of the parties shall not be allowed. </w:t>
      </w:r>
    </w:p>
    <w:p w14:paraId="7E0634A2" w14:textId="77777777" w:rsidR="00987B7B" w:rsidRPr="003C4860" w:rsidRDefault="00987B7B" w:rsidP="008C4C59">
      <w:pPr>
        <w:pStyle w:val="BodyText"/>
        <w:numPr>
          <w:ilvl w:val="0"/>
          <w:numId w:val="3"/>
        </w:numPr>
        <w:rPr>
          <w:sz w:val="24"/>
          <w:szCs w:val="24"/>
        </w:rPr>
      </w:pPr>
      <w:r w:rsidRPr="003C4860">
        <w:rPr>
          <w:sz w:val="24"/>
          <w:szCs w:val="24"/>
        </w:rPr>
        <w:t xml:space="preserve">Evidence of, or reference to, insurance, or the fact that an attorney is employed by, or has been compensated by, an insurance company, shall not be allowed. </w:t>
      </w:r>
    </w:p>
    <w:p w14:paraId="4F1E2116" w14:textId="77777777" w:rsidR="00987B7B" w:rsidRPr="003C4860" w:rsidRDefault="003C4860" w:rsidP="008C4C59">
      <w:pPr>
        <w:pStyle w:val="BodyText"/>
        <w:numPr>
          <w:ilvl w:val="0"/>
          <w:numId w:val="3"/>
        </w:numPr>
        <w:rPr>
          <w:sz w:val="24"/>
          <w:szCs w:val="24"/>
        </w:rPr>
      </w:pPr>
      <w:r w:rsidRPr="003C4860">
        <w:rPr>
          <w:sz w:val="24"/>
          <w:szCs w:val="24"/>
        </w:rPr>
        <w:t xml:space="preserve">Evidence of, or reference to, the financial position or wealth, or lack thereof, of any party to the litigation, shall not be allowed without permission from the court.  </w:t>
      </w:r>
    </w:p>
    <w:p w14:paraId="51E83B1B" w14:textId="77777777" w:rsidR="0085097B" w:rsidRPr="003C4860" w:rsidRDefault="00EE5877" w:rsidP="0085097B">
      <w:pPr>
        <w:pStyle w:val="BodyText"/>
        <w:numPr>
          <w:ilvl w:val="0"/>
          <w:numId w:val="3"/>
        </w:numPr>
        <w:rPr>
          <w:sz w:val="24"/>
          <w:szCs w:val="24"/>
        </w:rPr>
      </w:pPr>
      <w:r w:rsidRPr="003C4860">
        <w:rPr>
          <w:sz w:val="24"/>
          <w:szCs w:val="24"/>
        </w:rPr>
        <w:t xml:space="preserve">Counsel, witnesses and parties are to be </w:t>
      </w:r>
      <w:r w:rsidRPr="003C4860">
        <w:rPr>
          <w:b/>
          <w:bCs/>
          <w:sz w:val="24"/>
          <w:szCs w:val="24"/>
        </w:rPr>
        <w:t>civil and polite</w:t>
      </w:r>
      <w:r w:rsidRPr="003C4860">
        <w:rPr>
          <w:sz w:val="24"/>
          <w:szCs w:val="24"/>
        </w:rPr>
        <w:t xml:space="preserve"> at all times towards opposing counsel, parties, witnesses and </w:t>
      </w:r>
      <w:r w:rsidR="008E1275" w:rsidRPr="003C4860">
        <w:rPr>
          <w:sz w:val="24"/>
          <w:szCs w:val="24"/>
        </w:rPr>
        <w:t xml:space="preserve">all </w:t>
      </w:r>
      <w:r w:rsidRPr="003C4860">
        <w:rPr>
          <w:sz w:val="24"/>
          <w:szCs w:val="24"/>
        </w:rPr>
        <w:t>court personnel.</w:t>
      </w:r>
    </w:p>
    <w:p w14:paraId="55306D26" w14:textId="77777777" w:rsidR="00EE5877" w:rsidRPr="003C4860" w:rsidRDefault="00581069" w:rsidP="003C4860">
      <w:pPr>
        <w:pStyle w:val="BodyText"/>
        <w:numPr>
          <w:ilvl w:val="0"/>
          <w:numId w:val="3"/>
        </w:numPr>
        <w:rPr>
          <w:sz w:val="24"/>
          <w:szCs w:val="24"/>
        </w:rPr>
      </w:pPr>
      <w:r w:rsidRPr="003C4860">
        <w:rPr>
          <w:sz w:val="24"/>
          <w:szCs w:val="24"/>
        </w:rPr>
        <w:t xml:space="preserve">Opening statements are made from the lectern not </w:t>
      </w:r>
      <w:r w:rsidR="00CB5040" w:rsidRPr="003C4860">
        <w:rPr>
          <w:sz w:val="24"/>
          <w:szCs w:val="24"/>
        </w:rPr>
        <w:t xml:space="preserve">in front of the jury box nor </w:t>
      </w:r>
      <w:r w:rsidRPr="003C4860">
        <w:rPr>
          <w:sz w:val="24"/>
          <w:szCs w:val="24"/>
        </w:rPr>
        <w:t xml:space="preserve">the well.  Closing argument may be </w:t>
      </w:r>
      <w:r w:rsidR="00A90263" w:rsidRPr="003C4860">
        <w:rPr>
          <w:sz w:val="24"/>
          <w:szCs w:val="24"/>
        </w:rPr>
        <w:t>made in</w:t>
      </w:r>
      <w:r w:rsidR="00370627" w:rsidRPr="003C4860">
        <w:rPr>
          <w:sz w:val="24"/>
          <w:szCs w:val="24"/>
        </w:rPr>
        <w:t xml:space="preserve"> front of the jury</w:t>
      </w:r>
      <w:r w:rsidR="00A90263" w:rsidRPr="003C4860">
        <w:rPr>
          <w:sz w:val="24"/>
          <w:szCs w:val="24"/>
        </w:rPr>
        <w:t xml:space="preserve"> box</w:t>
      </w:r>
      <w:r w:rsidR="00370627" w:rsidRPr="003C4860">
        <w:rPr>
          <w:sz w:val="24"/>
          <w:szCs w:val="24"/>
        </w:rPr>
        <w:t>.</w:t>
      </w:r>
    </w:p>
    <w:p w14:paraId="3DD82BB0" w14:textId="77777777" w:rsidR="001834EA" w:rsidRPr="003C4860" w:rsidRDefault="001834EA" w:rsidP="00EE5877">
      <w:pPr>
        <w:pStyle w:val="BodyText"/>
        <w:numPr>
          <w:ilvl w:val="0"/>
          <w:numId w:val="3"/>
        </w:numPr>
        <w:rPr>
          <w:sz w:val="24"/>
          <w:szCs w:val="24"/>
        </w:rPr>
      </w:pPr>
      <w:r w:rsidRPr="003C4860">
        <w:rPr>
          <w:sz w:val="24"/>
          <w:szCs w:val="24"/>
        </w:rPr>
        <w:lastRenderedPageBreak/>
        <w:t>Upon the swearing-in of the witness, wait for permission from the court to begin inquiry.</w:t>
      </w:r>
    </w:p>
    <w:p w14:paraId="2910D375" w14:textId="77777777" w:rsidR="00371B20" w:rsidRDefault="00EE5877" w:rsidP="00EE5877">
      <w:pPr>
        <w:pStyle w:val="BodyText"/>
        <w:numPr>
          <w:ilvl w:val="0"/>
          <w:numId w:val="3"/>
        </w:numPr>
        <w:rPr>
          <w:sz w:val="24"/>
          <w:szCs w:val="24"/>
        </w:rPr>
      </w:pPr>
      <w:r w:rsidRPr="003C4860">
        <w:rPr>
          <w:sz w:val="24"/>
          <w:szCs w:val="24"/>
        </w:rPr>
        <w:t xml:space="preserve"> There are to be no speaking objections.  Objections should be made in legal form </w:t>
      </w:r>
      <w:r w:rsidRPr="003C4860">
        <w:rPr>
          <w:b/>
          <w:bCs/>
          <w:sz w:val="24"/>
          <w:szCs w:val="24"/>
        </w:rPr>
        <w:t>without</w:t>
      </w:r>
      <w:r w:rsidRPr="003C4860">
        <w:rPr>
          <w:sz w:val="24"/>
          <w:szCs w:val="24"/>
        </w:rPr>
        <w:t xml:space="preserve"> </w:t>
      </w:r>
      <w:r w:rsidRPr="003C4860">
        <w:rPr>
          <w:b/>
          <w:bCs/>
          <w:sz w:val="24"/>
          <w:szCs w:val="24"/>
        </w:rPr>
        <w:t>argument</w:t>
      </w:r>
      <w:r w:rsidR="003C4860">
        <w:rPr>
          <w:sz w:val="24"/>
          <w:szCs w:val="24"/>
        </w:rPr>
        <w:t xml:space="preserve"> (For example</w:t>
      </w:r>
      <w:r w:rsidRPr="003C4860">
        <w:rPr>
          <w:sz w:val="24"/>
          <w:szCs w:val="24"/>
        </w:rPr>
        <w:t xml:space="preserve">, </w:t>
      </w:r>
      <w:r w:rsidR="003C4860">
        <w:rPr>
          <w:sz w:val="24"/>
          <w:szCs w:val="24"/>
        </w:rPr>
        <w:t>“</w:t>
      </w:r>
      <w:r w:rsidRPr="003C4860">
        <w:rPr>
          <w:sz w:val="24"/>
          <w:szCs w:val="24"/>
        </w:rPr>
        <w:t>Objection, hearsay</w:t>
      </w:r>
      <w:r w:rsidR="003C4860">
        <w:rPr>
          <w:sz w:val="24"/>
          <w:szCs w:val="24"/>
        </w:rPr>
        <w:t>.”</w:t>
      </w:r>
      <w:r w:rsidRPr="003C4860">
        <w:rPr>
          <w:sz w:val="24"/>
          <w:szCs w:val="24"/>
        </w:rPr>
        <w:t xml:space="preserve">).  </w:t>
      </w:r>
      <w:r w:rsidR="00FC5623" w:rsidRPr="003C4860">
        <w:rPr>
          <w:sz w:val="24"/>
          <w:szCs w:val="24"/>
        </w:rPr>
        <w:t xml:space="preserve">Wait for a ruling from the Court. You may not have to say anything if it is in your favor.  </w:t>
      </w:r>
      <w:r w:rsidRPr="003C4860">
        <w:rPr>
          <w:sz w:val="24"/>
          <w:szCs w:val="24"/>
        </w:rPr>
        <w:t>Counsel should never offer argument in support</w:t>
      </w:r>
      <w:r w:rsidR="006A30B7" w:rsidRPr="003C4860">
        <w:rPr>
          <w:sz w:val="24"/>
          <w:szCs w:val="24"/>
        </w:rPr>
        <w:t>/opposition</w:t>
      </w:r>
      <w:r w:rsidRPr="003C4860">
        <w:rPr>
          <w:sz w:val="24"/>
          <w:szCs w:val="24"/>
        </w:rPr>
        <w:t xml:space="preserve"> of an objection</w:t>
      </w:r>
      <w:r w:rsidR="006A30B7" w:rsidRPr="003C4860">
        <w:rPr>
          <w:sz w:val="24"/>
          <w:szCs w:val="24"/>
        </w:rPr>
        <w:t xml:space="preserve"> or without asking to be heard</w:t>
      </w:r>
      <w:r w:rsidR="00EB63D2" w:rsidRPr="003C4860">
        <w:rPr>
          <w:sz w:val="24"/>
          <w:szCs w:val="24"/>
        </w:rPr>
        <w:t>, regardless of whether it is a jury or bench trial</w:t>
      </w:r>
      <w:r w:rsidRPr="003C4860">
        <w:rPr>
          <w:sz w:val="24"/>
          <w:szCs w:val="24"/>
        </w:rPr>
        <w:t xml:space="preserve">.  Counsel </w:t>
      </w:r>
      <w:r w:rsidR="006A30B7" w:rsidRPr="003C4860">
        <w:rPr>
          <w:sz w:val="24"/>
          <w:szCs w:val="24"/>
        </w:rPr>
        <w:t>can</w:t>
      </w:r>
      <w:r w:rsidRPr="003C4860">
        <w:rPr>
          <w:sz w:val="24"/>
          <w:szCs w:val="24"/>
        </w:rPr>
        <w:t xml:space="preserve"> request to approach and any argument on the objection will occur at the bench or in chambers</w:t>
      </w:r>
      <w:r w:rsidR="006A30B7" w:rsidRPr="003C4860">
        <w:rPr>
          <w:sz w:val="24"/>
          <w:szCs w:val="24"/>
        </w:rPr>
        <w:t xml:space="preserve"> when dealing with jury trials.</w:t>
      </w:r>
      <w:r w:rsidR="00C659EF" w:rsidRPr="003C4860">
        <w:rPr>
          <w:sz w:val="24"/>
          <w:szCs w:val="24"/>
        </w:rPr>
        <w:t xml:space="preserve">  </w:t>
      </w:r>
      <w:r w:rsidR="005547BD" w:rsidRPr="003C4860">
        <w:rPr>
          <w:sz w:val="24"/>
          <w:szCs w:val="24"/>
        </w:rPr>
        <w:t xml:space="preserve">Do not engage opposing counsel with argument </w:t>
      </w:r>
      <w:r w:rsidR="003C4860">
        <w:rPr>
          <w:sz w:val="24"/>
          <w:szCs w:val="24"/>
        </w:rPr>
        <w:t xml:space="preserve">during the examination process. Finally, </w:t>
      </w:r>
      <w:r w:rsidR="005547BD" w:rsidRPr="003C4860">
        <w:rPr>
          <w:b/>
          <w:sz w:val="24"/>
          <w:szCs w:val="24"/>
        </w:rPr>
        <w:t xml:space="preserve">objections </w:t>
      </w:r>
      <w:r w:rsidR="003618C1" w:rsidRPr="003C4860">
        <w:rPr>
          <w:b/>
          <w:sz w:val="24"/>
          <w:szCs w:val="24"/>
        </w:rPr>
        <w:t>and arguments</w:t>
      </w:r>
      <w:r w:rsidR="005547BD" w:rsidRPr="003C4860">
        <w:rPr>
          <w:b/>
          <w:sz w:val="24"/>
          <w:szCs w:val="24"/>
        </w:rPr>
        <w:t xml:space="preserve"> are to be addressed to the Court only</w:t>
      </w:r>
      <w:r w:rsidR="005547BD" w:rsidRPr="003C4860">
        <w:rPr>
          <w:sz w:val="24"/>
          <w:szCs w:val="24"/>
        </w:rPr>
        <w:t>.</w:t>
      </w:r>
      <w:r w:rsidR="00FC5623" w:rsidRPr="003C4860">
        <w:rPr>
          <w:sz w:val="24"/>
          <w:szCs w:val="24"/>
        </w:rPr>
        <w:t xml:space="preserve"> </w:t>
      </w:r>
    </w:p>
    <w:p w14:paraId="058D0527" w14:textId="77777777" w:rsidR="00EE5877" w:rsidRDefault="00C659EF" w:rsidP="00EE5877">
      <w:pPr>
        <w:pStyle w:val="BodyText"/>
        <w:numPr>
          <w:ilvl w:val="0"/>
          <w:numId w:val="3"/>
        </w:numPr>
        <w:rPr>
          <w:sz w:val="24"/>
          <w:szCs w:val="24"/>
        </w:rPr>
      </w:pPr>
      <w:r w:rsidRPr="003C4860">
        <w:rPr>
          <w:sz w:val="24"/>
          <w:szCs w:val="24"/>
        </w:rPr>
        <w:t>Counsel will not be argumentative with the Court.</w:t>
      </w:r>
      <w:r w:rsidR="002B362B" w:rsidRPr="003C4860">
        <w:rPr>
          <w:sz w:val="24"/>
          <w:szCs w:val="24"/>
        </w:rPr>
        <w:t xml:space="preserve">  When a ruling is made, that is not an invitation for further argument.  We move on.</w:t>
      </w:r>
    </w:p>
    <w:p w14:paraId="0E0B4DE3" w14:textId="77777777" w:rsidR="00EE5877" w:rsidRDefault="00EE5877" w:rsidP="00EE5877">
      <w:pPr>
        <w:pStyle w:val="BodyText"/>
        <w:numPr>
          <w:ilvl w:val="0"/>
          <w:numId w:val="3"/>
        </w:numPr>
        <w:rPr>
          <w:sz w:val="24"/>
          <w:szCs w:val="24"/>
        </w:rPr>
      </w:pPr>
      <w:r w:rsidRPr="003C4860">
        <w:rPr>
          <w:sz w:val="24"/>
          <w:szCs w:val="24"/>
        </w:rPr>
        <w:t xml:space="preserve">Requests for read backs are to be directed to the court, not the court reporter.  </w:t>
      </w:r>
    </w:p>
    <w:p w14:paraId="62B7B117" w14:textId="77777777" w:rsidR="002A6708" w:rsidRDefault="00EE5877" w:rsidP="00EE5877">
      <w:pPr>
        <w:pStyle w:val="BodyText"/>
        <w:numPr>
          <w:ilvl w:val="0"/>
          <w:numId w:val="3"/>
        </w:numPr>
        <w:rPr>
          <w:sz w:val="24"/>
          <w:szCs w:val="24"/>
        </w:rPr>
      </w:pPr>
      <w:r w:rsidRPr="003C4860">
        <w:rPr>
          <w:sz w:val="24"/>
          <w:szCs w:val="24"/>
        </w:rPr>
        <w:t>All witnesses and parties are to be referred to by their surnames only</w:t>
      </w:r>
      <w:r w:rsidR="00EB63D2" w:rsidRPr="003C4860">
        <w:rPr>
          <w:sz w:val="24"/>
          <w:szCs w:val="24"/>
        </w:rPr>
        <w:t xml:space="preserve"> and counsel must stand when questioning witnesses</w:t>
      </w:r>
      <w:r w:rsidRPr="003C4860">
        <w:rPr>
          <w:sz w:val="24"/>
          <w:szCs w:val="24"/>
        </w:rPr>
        <w:t>.</w:t>
      </w:r>
      <w:r w:rsidR="002A6708" w:rsidRPr="003C4860">
        <w:rPr>
          <w:sz w:val="24"/>
          <w:szCs w:val="24"/>
        </w:rPr>
        <w:t xml:space="preserve"> </w:t>
      </w:r>
    </w:p>
    <w:p w14:paraId="3C119EF7" w14:textId="77777777" w:rsidR="00EE5877" w:rsidRDefault="00EE5877" w:rsidP="00EE5877">
      <w:pPr>
        <w:pStyle w:val="BodyText"/>
        <w:numPr>
          <w:ilvl w:val="0"/>
          <w:numId w:val="3"/>
        </w:numPr>
        <w:rPr>
          <w:sz w:val="24"/>
          <w:szCs w:val="24"/>
        </w:rPr>
      </w:pPr>
      <w:r w:rsidRPr="003C4860">
        <w:rPr>
          <w:sz w:val="24"/>
          <w:szCs w:val="24"/>
        </w:rPr>
        <w:t>Do not enter the well without permission from either the Court or the Bailiff.</w:t>
      </w:r>
    </w:p>
    <w:p w14:paraId="0B0C3AE2" w14:textId="77777777" w:rsidR="00EE5877" w:rsidRDefault="00EE5877" w:rsidP="00EE5877">
      <w:pPr>
        <w:pStyle w:val="BodyText"/>
        <w:numPr>
          <w:ilvl w:val="0"/>
          <w:numId w:val="3"/>
        </w:numPr>
        <w:rPr>
          <w:sz w:val="24"/>
          <w:szCs w:val="24"/>
        </w:rPr>
      </w:pPr>
      <w:r w:rsidRPr="003C4860">
        <w:rPr>
          <w:sz w:val="24"/>
          <w:szCs w:val="24"/>
        </w:rPr>
        <w:t>Witnesses may be approache</w:t>
      </w:r>
      <w:r w:rsidR="00DF49AA">
        <w:rPr>
          <w:sz w:val="24"/>
          <w:szCs w:val="24"/>
        </w:rPr>
        <w:t>d after requesting permission. </w:t>
      </w:r>
      <w:r w:rsidRPr="003C4860">
        <w:rPr>
          <w:sz w:val="24"/>
          <w:szCs w:val="24"/>
        </w:rPr>
        <w:t>Once you are given permission to approach that witness, you need not ask again.</w:t>
      </w:r>
    </w:p>
    <w:p w14:paraId="6F3B98B6" w14:textId="77777777" w:rsidR="00EE5877" w:rsidRDefault="00EE5877" w:rsidP="00EE5877">
      <w:pPr>
        <w:pStyle w:val="BodyText"/>
        <w:numPr>
          <w:ilvl w:val="0"/>
          <w:numId w:val="3"/>
        </w:numPr>
        <w:rPr>
          <w:sz w:val="24"/>
          <w:szCs w:val="24"/>
        </w:rPr>
      </w:pPr>
      <w:r w:rsidRPr="003C4860">
        <w:rPr>
          <w:sz w:val="24"/>
          <w:szCs w:val="24"/>
        </w:rPr>
        <w:t>Do not approach the Courtroom Clerk when Court is in session.</w:t>
      </w:r>
    </w:p>
    <w:p w14:paraId="5C5E6930" w14:textId="77777777" w:rsidR="00E6479D" w:rsidRDefault="00EE5877" w:rsidP="00DF49AA">
      <w:pPr>
        <w:pStyle w:val="BodyText"/>
        <w:numPr>
          <w:ilvl w:val="0"/>
          <w:numId w:val="3"/>
        </w:numPr>
        <w:rPr>
          <w:sz w:val="24"/>
          <w:szCs w:val="24"/>
        </w:rPr>
      </w:pPr>
      <w:r w:rsidRPr="003C4860">
        <w:rPr>
          <w:sz w:val="24"/>
          <w:szCs w:val="24"/>
        </w:rPr>
        <w:t xml:space="preserve">Have all exhibits marked before the start of testimony and make certain that each party, or their counsel, has reviewed them.  If you are using any </w:t>
      </w:r>
      <w:r w:rsidR="002A6708" w:rsidRPr="003C4860">
        <w:rPr>
          <w:sz w:val="24"/>
          <w:szCs w:val="24"/>
        </w:rPr>
        <w:t>PowerPoint slides in your</w:t>
      </w:r>
      <w:r w:rsidRPr="003C4860">
        <w:rPr>
          <w:sz w:val="24"/>
          <w:szCs w:val="24"/>
        </w:rPr>
        <w:t xml:space="preserve"> opening or cl</w:t>
      </w:r>
      <w:r w:rsidR="0085097B" w:rsidRPr="003C4860">
        <w:rPr>
          <w:sz w:val="24"/>
          <w:szCs w:val="24"/>
        </w:rPr>
        <w:t>osing, make sure they have been shown to the opposing side.  Any objection to the slides can be handled in chambers.</w:t>
      </w:r>
    </w:p>
    <w:p w14:paraId="2CF64602" w14:textId="77777777" w:rsidR="009C1C46" w:rsidRDefault="009C1C46" w:rsidP="00DF49AA">
      <w:pPr>
        <w:pStyle w:val="BodyText"/>
        <w:numPr>
          <w:ilvl w:val="0"/>
          <w:numId w:val="3"/>
        </w:numPr>
        <w:rPr>
          <w:sz w:val="24"/>
          <w:szCs w:val="24"/>
        </w:rPr>
      </w:pPr>
      <w:r w:rsidRPr="003C4860">
        <w:rPr>
          <w:sz w:val="24"/>
          <w:szCs w:val="24"/>
        </w:rPr>
        <w:t xml:space="preserve"> </w:t>
      </w:r>
      <w:r w:rsidRPr="00DF49AA">
        <w:rPr>
          <w:b/>
          <w:sz w:val="24"/>
          <w:szCs w:val="24"/>
        </w:rPr>
        <w:t>D</w:t>
      </w:r>
      <w:r w:rsidR="00A254C5" w:rsidRPr="00DF49AA">
        <w:rPr>
          <w:b/>
          <w:sz w:val="24"/>
          <w:szCs w:val="24"/>
        </w:rPr>
        <w:t>O</w:t>
      </w:r>
      <w:r w:rsidRPr="00DF49AA">
        <w:rPr>
          <w:b/>
          <w:sz w:val="24"/>
          <w:szCs w:val="24"/>
        </w:rPr>
        <w:t xml:space="preserve"> NOT </w:t>
      </w:r>
      <w:r w:rsidRPr="003C4860">
        <w:rPr>
          <w:sz w:val="24"/>
          <w:szCs w:val="24"/>
        </w:rPr>
        <w:t>publish any documents without prior court permission.</w:t>
      </w:r>
      <w:r w:rsidR="00725944" w:rsidRPr="003C4860">
        <w:rPr>
          <w:sz w:val="24"/>
          <w:szCs w:val="24"/>
        </w:rPr>
        <w:t xml:space="preserve">  Asking the Court “Permission to Publish exhibit X” will alert the Court as well as opposing counsel that you are about to introduce a publication.  This gives the party an opportunity to object and the Court to make a ruling </w:t>
      </w:r>
      <w:r w:rsidR="00725944" w:rsidRPr="00DF49AA">
        <w:rPr>
          <w:b/>
          <w:sz w:val="24"/>
          <w:szCs w:val="24"/>
        </w:rPr>
        <w:t>before</w:t>
      </w:r>
      <w:r w:rsidR="00725944" w:rsidRPr="003C4860">
        <w:rPr>
          <w:sz w:val="24"/>
          <w:szCs w:val="24"/>
        </w:rPr>
        <w:t xml:space="preserve"> being seen by the jury.  Please use this format to avoid any appellate issues.</w:t>
      </w:r>
    </w:p>
    <w:p w14:paraId="7EE87FF5" w14:textId="77777777" w:rsidR="009C1C46" w:rsidRDefault="009C1C46" w:rsidP="00DF49AA">
      <w:pPr>
        <w:pStyle w:val="BodyText"/>
        <w:numPr>
          <w:ilvl w:val="0"/>
          <w:numId w:val="3"/>
        </w:numPr>
        <w:rPr>
          <w:sz w:val="24"/>
          <w:szCs w:val="24"/>
        </w:rPr>
      </w:pPr>
      <w:r w:rsidRPr="003C4860">
        <w:rPr>
          <w:sz w:val="24"/>
          <w:szCs w:val="24"/>
        </w:rPr>
        <w:t>Identify each exhibit for the record each time it is published regardless of whether it</w:t>
      </w:r>
      <w:r w:rsidR="0085097B" w:rsidRPr="003C4860">
        <w:rPr>
          <w:sz w:val="24"/>
          <w:szCs w:val="24"/>
        </w:rPr>
        <w:t xml:space="preserve"> </w:t>
      </w:r>
      <w:r w:rsidRPr="003C4860">
        <w:rPr>
          <w:sz w:val="24"/>
          <w:szCs w:val="24"/>
        </w:rPr>
        <w:t>has been previously identified.</w:t>
      </w:r>
      <w:r w:rsidR="00D073A2" w:rsidRPr="003C4860">
        <w:rPr>
          <w:sz w:val="24"/>
          <w:szCs w:val="24"/>
        </w:rPr>
        <w:t xml:space="preserve">  For example </w:t>
      </w:r>
      <w:r w:rsidR="002A6708" w:rsidRPr="003C4860">
        <w:rPr>
          <w:sz w:val="24"/>
          <w:szCs w:val="24"/>
        </w:rPr>
        <w:t>“Identifying</w:t>
      </w:r>
      <w:r w:rsidR="00D073A2" w:rsidRPr="003C4860">
        <w:rPr>
          <w:sz w:val="24"/>
          <w:szCs w:val="24"/>
        </w:rPr>
        <w:t xml:space="preserve"> exhibit A, having been previously published…”   This will help to keep the record straight and alert counsel that an objection is not needed.</w:t>
      </w:r>
    </w:p>
    <w:p w14:paraId="3881D3EA" w14:textId="77777777" w:rsidR="004442FE" w:rsidRDefault="004442FE" w:rsidP="00DF49AA">
      <w:pPr>
        <w:pStyle w:val="BodyText"/>
        <w:numPr>
          <w:ilvl w:val="0"/>
          <w:numId w:val="3"/>
        </w:numPr>
        <w:rPr>
          <w:sz w:val="24"/>
          <w:szCs w:val="24"/>
        </w:rPr>
      </w:pPr>
      <w:r w:rsidRPr="003C4860">
        <w:rPr>
          <w:sz w:val="24"/>
          <w:szCs w:val="24"/>
        </w:rPr>
        <w:t>Do not ask the witness to do anything other than testify without prior court permission</w:t>
      </w:r>
      <w:r w:rsidR="00742728" w:rsidRPr="003C4860">
        <w:rPr>
          <w:sz w:val="24"/>
          <w:szCs w:val="24"/>
        </w:rPr>
        <w:t xml:space="preserve"> (i.e</w:t>
      </w:r>
      <w:r w:rsidRPr="003C4860">
        <w:rPr>
          <w:sz w:val="24"/>
          <w:szCs w:val="24"/>
        </w:rPr>
        <w:t>.</w:t>
      </w:r>
      <w:r w:rsidR="00742728" w:rsidRPr="003C4860">
        <w:rPr>
          <w:sz w:val="24"/>
          <w:szCs w:val="24"/>
        </w:rPr>
        <w:t>, “Please draw on the board”…; “Please read the document”</w:t>
      </w:r>
      <w:r w:rsidR="002A6708" w:rsidRPr="003C4860">
        <w:rPr>
          <w:sz w:val="24"/>
          <w:szCs w:val="24"/>
        </w:rPr>
        <w:t>...)</w:t>
      </w:r>
    </w:p>
    <w:p w14:paraId="67AB7FDD" w14:textId="77777777" w:rsidR="004442FE" w:rsidRDefault="00BB1A17" w:rsidP="00DF49AA">
      <w:pPr>
        <w:pStyle w:val="BodyText"/>
        <w:numPr>
          <w:ilvl w:val="0"/>
          <w:numId w:val="3"/>
        </w:numPr>
        <w:rPr>
          <w:sz w:val="24"/>
          <w:szCs w:val="24"/>
        </w:rPr>
      </w:pPr>
      <w:r w:rsidRPr="003C4860">
        <w:rPr>
          <w:sz w:val="24"/>
          <w:szCs w:val="24"/>
        </w:rPr>
        <w:t xml:space="preserve">Counsel are required to advise the witnesses </w:t>
      </w:r>
      <w:r w:rsidR="00BC027C" w:rsidRPr="003C4860">
        <w:rPr>
          <w:sz w:val="24"/>
          <w:szCs w:val="24"/>
        </w:rPr>
        <w:t>of any of the rules pertaining to them</w:t>
      </w:r>
      <w:r w:rsidR="005132E8" w:rsidRPr="003C4860">
        <w:rPr>
          <w:sz w:val="24"/>
          <w:szCs w:val="24"/>
        </w:rPr>
        <w:t xml:space="preserve"> and of the Court’s rulings on motions in limine</w:t>
      </w:r>
      <w:r w:rsidR="00BC027C" w:rsidRPr="003C4860">
        <w:rPr>
          <w:sz w:val="24"/>
          <w:szCs w:val="24"/>
        </w:rPr>
        <w:t>.</w:t>
      </w:r>
    </w:p>
    <w:p w14:paraId="3955228B" w14:textId="77777777" w:rsidR="00C94E50" w:rsidRPr="00DF49AA" w:rsidRDefault="00FD0E7B" w:rsidP="00DF49AA">
      <w:pPr>
        <w:pStyle w:val="BodyText"/>
        <w:numPr>
          <w:ilvl w:val="0"/>
          <w:numId w:val="3"/>
        </w:numPr>
        <w:rPr>
          <w:sz w:val="24"/>
          <w:szCs w:val="24"/>
        </w:rPr>
      </w:pPr>
      <w:r w:rsidRPr="003C4860">
        <w:rPr>
          <w:sz w:val="24"/>
          <w:szCs w:val="24"/>
        </w:rPr>
        <w:t>Counsel should be prepared to start every day at 9:30</w:t>
      </w:r>
      <w:r w:rsidR="00DF49AA">
        <w:rPr>
          <w:sz w:val="24"/>
          <w:szCs w:val="24"/>
        </w:rPr>
        <w:t xml:space="preserve"> a.m. </w:t>
      </w:r>
      <w:r w:rsidR="00742728" w:rsidRPr="003C4860">
        <w:rPr>
          <w:sz w:val="24"/>
          <w:szCs w:val="24"/>
        </w:rPr>
        <w:t>(Jury trial only)</w:t>
      </w:r>
      <w:r w:rsidRPr="003C4860">
        <w:rPr>
          <w:sz w:val="24"/>
          <w:szCs w:val="24"/>
        </w:rPr>
        <w:t>.</w:t>
      </w:r>
    </w:p>
    <w:p w14:paraId="121AFF7F" w14:textId="77777777" w:rsidR="00FD0E7B" w:rsidRPr="003C4860" w:rsidRDefault="00FD0E7B"/>
    <w:p w14:paraId="30C86C2D" w14:textId="77777777" w:rsidR="009D5C7B" w:rsidRPr="003C4860" w:rsidRDefault="009D5C7B">
      <w:r w:rsidRPr="003C4860">
        <w:t xml:space="preserve">THESE ARE </w:t>
      </w:r>
      <w:r w:rsidR="00371B20" w:rsidRPr="003C4860">
        <w:t xml:space="preserve">NOW </w:t>
      </w:r>
      <w:r w:rsidRPr="003C4860">
        <w:t>THE COURT</w:t>
      </w:r>
      <w:r w:rsidR="0000105E" w:rsidRPr="003C4860">
        <w:t>’</w:t>
      </w:r>
      <w:r w:rsidRPr="003C4860">
        <w:t xml:space="preserve">S TRIAL ORDERS.  PLEASE BE FAMILIAR WITH THEM </w:t>
      </w:r>
      <w:r w:rsidR="00B45166" w:rsidRPr="003C4860">
        <w:t>AS THIS CONSTITUTES YOUR NOTICE P</w:t>
      </w:r>
      <w:r w:rsidR="00413584" w:rsidRPr="003C4860">
        <w:t>URSUANT TO</w:t>
      </w:r>
      <w:r w:rsidR="00B45166" w:rsidRPr="003C4860">
        <w:t xml:space="preserve"> CCP 177.5.</w:t>
      </w:r>
      <w:r w:rsidR="008E1275" w:rsidRPr="003C4860">
        <w:t xml:space="preserve">  FAILURE TO OBEY THESE LAWFULLY ISSUED ORDERS WILL SUBJECT YOU TO ALL AVAILABLE SANCTIONS.</w:t>
      </w:r>
    </w:p>
    <w:p w14:paraId="13EAC74D" w14:textId="77777777" w:rsidR="00B45166" w:rsidRPr="003C4860" w:rsidRDefault="00B45166"/>
    <w:p w14:paraId="30EC9D5B" w14:textId="77777777" w:rsidR="007B043B" w:rsidRPr="003C4860" w:rsidRDefault="007B043B"/>
    <w:p w14:paraId="005D715F" w14:textId="77777777" w:rsidR="007B043B" w:rsidRPr="00096945" w:rsidRDefault="007B043B"/>
    <w:p w14:paraId="1BD2FDAA" w14:textId="77777777" w:rsidR="007B043B" w:rsidRPr="00BF5A79" w:rsidRDefault="00BF5A79">
      <w:pPr>
        <w:rPr>
          <w:rFonts w:ascii="Script MT Bold" w:hAnsi="Script MT Bold"/>
          <w:sz w:val="44"/>
          <w:szCs w:val="44"/>
          <w:u w:val="single"/>
        </w:rPr>
      </w:pPr>
      <w:r>
        <w:rPr>
          <w:rFonts w:ascii="Script MT Bold" w:hAnsi="Script MT Bold"/>
          <w:sz w:val="44"/>
          <w:szCs w:val="44"/>
          <w:u w:val="single"/>
        </w:rPr>
        <w:t xml:space="preserve">N. Quintana Winter  </w:t>
      </w:r>
    </w:p>
    <w:p w14:paraId="085A266C" w14:textId="77777777" w:rsidR="007B043B" w:rsidRPr="00096945" w:rsidRDefault="007B043B">
      <w:r w:rsidRPr="00096945">
        <w:t>JUDGE OF THE SUPERIOR COURT</w:t>
      </w:r>
    </w:p>
    <w:sectPr w:rsidR="007B043B" w:rsidRPr="00096945" w:rsidSect="00BF5A79">
      <w:pgSz w:w="12242" w:h="15842" w:code="260"/>
      <w:pgMar w:top="108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129AE"/>
    <w:multiLevelType w:val="hybridMultilevel"/>
    <w:tmpl w:val="43A212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F7C57"/>
    <w:multiLevelType w:val="hybridMultilevel"/>
    <w:tmpl w:val="217E4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E2609B"/>
    <w:multiLevelType w:val="hybridMultilevel"/>
    <w:tmpl w:val="DA0EF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CITRUS_JURISDICTION" w:val="Bluebook"/>
    <w:docVar w:name="CITRUS_DOC_GUID" w:val="{2F90F064-657B-4A2F-98E4-3D9A5EA5500A}"/>
  </w:docVars>
  <w:rsids>
    <w:rsidRoot w:val="00115128"/>
    <w:rsid w:val="0000105E"/>
    <w:rsid w:val="000172F8"/>
    <w:rsid w:val="00045F27"/>
    <w:rsid w:val="00096945"/>
    <w:rsid w:val="000B7F06"/>
    <w:rsid w:val="000C175F"/>
    <w:rsid w:val="000F2D8B"/>
    <w:rsid w:val="00107BA3"/>
    <w:rsid w:val="00115128"/>
    <w:rsid w:val="0012227E"/>
    <w:rsid w:val="001238C2"/>
    <w:rsid w:val="001834EA"/>
    <w:rsid w:val="00222B0C"/>
    <w:rsid w:val="00223408"/>
    <w:rsid w:val="002639A6"/>
    <w:rsid w:val="002A6708"/>
    <w:rsid w:val="002B362B"/>
    <w:rsid w:val="003618C1"/>
    <w:rsid w:val="00370627"/>
    <w:rsid w:val="00371B20"/>
    <w:rsid w:val="003C4860"/>
    <w:rsid w:val="003D73F6"/>
    <w:rsid w:val="00413584"/>
    <w:rsid w:val="004442FE"/>
    <w:rsid w:val="004E2148"/>
    <w:rsid w:val="004F283A"/>
    <w:rsid w:val="005132E8"/>
    <w:rsid w:val="005547BD"/>
    <w:rsid w:val="00581069"/>
    <w:rsid w:val="005E149A"/>
    <w:rsid w:val="00661A6B"/>
    <w:rsid w:val="00672882"/>
    <w:rsid w:val="006A30B7"/>
    <w:rsid w:val="00725432"/>
    <w:rsid w:val="00725944"/>
    <w:rsid w:val="00742728"/>
    <w:rsid w:val="007B043B"/>
    <w:rsid w:val="0085097B"/>
    <w:rsid w:val="008C4C59"/>
    <w:rsid w:val="008E1275"/>
    <w:rsid w:val="0097725A"/>
    <w:rsid w:val="00987B7B"/>
    <w:rsid w:val="009B2954"/>
    <w:rsid w:val="009C06EA"/>
    <w:rsid w:val="009C1C46"/>
    <w:rsid w:val="009D5C7B"/>
    <w:rsid w:val="00A159A9"/>
    <w:rsid w:val="00A254C5"/>
    <w:rsid w:val="00A63832"/>
    <w:rsid w:val="00A90263"/>
    <w:rsid w:val="00AF0798"/>
    <w:rsid w:val="00B45166"/>
    <w:rsid w:val="00B648BE"/>
    <w:rsid w:val="00BB1A17"/>
    <w:rsid w:val="00BB6692"/>
    <w:rsid w:val="00BC027C"/>
    <w:rsid w:val="00BF5A79"/>
    <w:rsid w:val="00C659EF"/>
    <w:rsid w:val="00C94E50"/>
    <w:rsid w:val="00CB5040"/>
    <w:rsid w:val="00D073A2"/>
    <w:rsid w:val="00D523D3"/>
    <w:rsid w:val="00DF49AA"/>
    <w:rsid w:val="00E06DA7"/>
    <w:rsid w:val="00E6479D"/>
    <w:rsid w:val="00EB63D2"/>
    <w:rsid w:val="00EE5877"/>
    <w:rsid w:val="00F23AD7"/>
    <w:rsid w:val="00F70ABB"/>
    <w:rsid w:val="00FC5623"/>
    <w:rsid w:val="00FD0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5A195"/>
  <w15:chartTrackingRefBased/>
  <w15:docId w15:val="{78F91138-BEA9-4778-A2A0-CF3FB701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E5877"/>
    <w:pPr>
      <w:jc w:val="center"/>
    </w:pPr>
    <w:rPr>
      <w:b/>
      <w:bCs/>
      <w:sz w:val="36"/>
      <w:szCs w:val="36"/>
    </w:rPr>
  </w:style>
  <w:style w:type="paragraph" w:styleId="BodyText">
    <w:name w:val="Body Text"/>
    <w:basedOn w:val="Normal"/>
    <w:rsid w:val="00EE5877"/>
    <w:rPr>
      <w:sz w:val="28"/>
      <w:szCs w:val="28"/>
    </w:rPr>
  </w:style>
  <w:style w:type="paragraph" w:styleId="BalloonText">
    <w:name w:val="Balloon Text"/>
    <w:basedOn w:val="Normal"/>
    <w:link w:val="BalloonTextChar"/>
    <w:uiPriority w:val="99"/>
    <w:semiHidden/>
    <w:unhideWhenUsed/>
    <w:rsid w:val="00725944"/>
    <w:rPr>
      <w:rFonts w:ascii="Segoe UI" w:hAnsi="Segoe UI" w:cs="Segoe UI"/>
      <w:sz w:val="18"/>
      <w:szCs w:val="18"/>
    </w:rPr>
  </w:style>
  <w:style w:type="character" w:customStyle="1" w:styleId="BalloonTextChar">
    <w:name w:val="Balloon Text Char"/>
    <w:link w:val="BalloonText"/>
    <w:uiPriority w:val="99"/>
    <w:semiHidden/>
    <w:rsid w:val="007259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0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 xmlns="e9ce020e-317f-4da9-8f06-81349339fd35" xsi:nil="true"/>
    <Number xmlns="e9ce020e-317f-4da9-8f06-81349339fd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79C3FA2A915B4C88938B34BAE0DCEA" ma:contentTypeVersion="8" ma:contentTypeDescription="Create a new document." ma:contentTypeScope="" ma:versionID="6a23f1bde0c116c326ed3dd5bb0cfd0e">
  <xsd:schema xmlns:xsd="http://www.w3.org/2001/XMLSchema" xmlns:xs="http://www.w3.org/2001/XMLSchema" xmlns:p="http://schemas.microsoft.com/office/2006/metadata/properties" xmlns:ns2="e9ce020e-317f-4da9-8f06-81349339fd35" xmlns:ns3="d8a5e456-fa6d-4a21-854a-1be610bd2ca3" targetNamespace="http://schemas.microsoft.com/office/2006/metadata/properties" ma:root="true" ma:fieldsID="c96286b73d4982b74696814406e4b784" ns2:_="" ns3:_="">
    <xsd:import namespace="e9ce020e-317f-4da9-8f06-81349339fd35"/>
    <xsd:import namespace="d8a5e456-fa6d-4a21-854a-1be610bd2c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Test" minOccurs="0"/>
                <xsd:element ref="ns2:Numbe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ce020e-317f-4da9-8f06-81349339f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Test" ma:index="11" nillable="true" ma:displayName="Test" ma:description="testing" ma:format="Dropdown" ma:internalName="Test">
      <xsd:simpleType>
        <xsd:restriction base="dms:Text">
          <xsd:maxLength value="255"/>
        </xsd:restriction>
      </xsd:simpleType>
    </xsd:element>
    <xsd:element name="Number" ma:index="12" nillable="true" ma:displayName="Number" ma:description="Description numbers" ma:format="Dropdown" ma:internalName="Number" ma:percentage="FALSE">
      <xsd:simpleType>
        <xsd:restriction base="dms:Number"/>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a5e456-fa6d-4a21-854a-1be610bd2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25FD6D-30D5-449B-894C-FE805EE5B84C}">
  <ds:schemaRefs>
    <ds:schemaRef ds:uri="http://schemas.microsoft.com/sharepoint/v3/contenttype/forms"/>
  </ds:schemaRefs>
</ds:datastoreItem>
</file>

<file path=customXml/itemProps2.xml><?xml version="1.0" encoding="utf-8"?>
<ds:datastoreItem xmlns:ds="http://schemas.openxmlformats.org/officeDocument/2006/customXml" ds:itemID="{2EAD2449-AE7C-4C8B-AACD-DCEF5782665E}">
  <ds:schemaRef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a4b1de09-4f1f-4a96-a809-732c5c105768"/>
    <ds:schemaRef ds:uri="http://schemas.openxmlformats.org/package/2006/metadata/core-properties"/>
    <ds:schemaRef ds:uri="95bc6b3a-b558-491c-ae78-9db86a7afa79"/>
    <ds:schemaRef ds:uri="http://www.w3.org/XML/1998/namespace"/>
  </ds:schemaRefs>
</ds:datastoreItem>
</file>

<file path=customXml/itemProps3.xml><?xml version="1.0" encoding="utf-8"?>
<ds:datastoreItem xmlns:ds="http://schemas.openxmlformats.org/officeDocument/2006/customXml" ds:itemID="{8EE00C96-04F2-432B-996A-2006F59CA82C}"/>
</file>

<file path=docProps/app.xml><?xml version="1.0" encoding="utf-8"?>
<Properties xmlns="http://schemas.openxmlformats.org/officeDocument/2006/extended-properties" xmlns:vt="http://schemas.openxmlformats.org/officeDocument/2006/docPropsVTypes">
  <Template>Normal</Template>
  <TotalTime>13</TotalTime>
  <Pages>2</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COURTROOM JURY TRIAL RULES</vt:lpstr>
    </vt:vector>
  </TitlesOfParts>
  <Company>County of San Bernardino</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COURTROOM JURY TRIAL RULES</dc:title>
  <dc:subject/>
  <dc:creator>d8485</dc:creator>
  <cp:keywords/>
  <cp:lastModifiedBy>Hernandez, Joseph</cp:lastModifiedBy>
  <cp:revision>3</cp:revision>
  <cp:lastPrinted>2024-12-04T18:06:00Z</cp:lastPrinted>
  <dcterms:created xsi:type="dcterms:W3CDTF">2024-12-04T18:18:00Z</dcterms:created>
  <dcterms:modified xsi:type="dcterms:W3CDTF">2024-12-12T22:32:00Z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0x0101009979C3FA2A915B4C88938B34BAE0DCEA</vt:lpwstr>
  </property>
</Properties>
</file>